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BDB8B" w14:textId="56792426" w:rsidR="000A2E63" w:rsidRPr="000A2E63" w:rsidRDefault="000A2E63" w:rsidP="000A2E63">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0A2E63">
        <w:rPr>
          <w:rFonts w:ascii="Times New Roman" w:eastAsia="Batang" w:hAnsi="Times New Roman" w:cs="Times New Roman"/>
          <w:b/>
          <w:bCs/>
          <w:szCs w:val="20"/>
          <w:lang w:val="de-DE"/>
        </w:rPr>
        <w:t>3GPP TSG RAN WG1 #111</w:t>
      </w:r>
      <w:r w:rsidRPr="000A2E63">
        <w:rPr>
          <w:rFonts w:ascii="Times New Roman" w:eastAsia="Batang" w:hAnsi="Times New Roman" w:cs="Times New Roman"/>
          <w:b/>
          <w:bCs/>
          <w:szCs w:val="20"/>
          <w:lang w:val="de-DE"/>
        </w:rPr>
        <w:tab/>
      </w:r>
      <w:r w:rsidRPr="000A2E63">
        <w:rPr>
          <w:rFonts w:ascii="Times New Roman" w:eastAsia="Batang" w:hAnsi="Times New Roman" w:cs="Times New Roman"/>
          <w:b/>
          <w:bCs/>
          <w:szCs w:val="20"/>
          <w:lang w:val="de-DE"/>
        </w:rPr>
        <w:tab/>
      </w:r>
      <w:r w:rsidRPr="000A2E63">
        <w:rPr>
          <w:rFonts w:ascii="Times New Roman" w:eastAsia="Batang" w:hAnsi="Times New Roman" w:cs="Times New Roman"/>
          <w:b/>
          <w:bCs/>
          <w:szCs w:val="20"/>
          <w:lang w:val="de-DE"/>
        </w:rPr>
        <w:tab/>
      </w:r>
      <w:r w:rsidR="00100C89">
        <w:rPr>
          <w:rFonts w:ascii="Times New Roman" w:eastAsia="Batang" w:hAnsi="Times New Roman" w:cs="Times New Roman"/>
          <w:b/>
          <w:bCs/>
          <w:szCs w:val="20"/>
          <w:lang w:val="de-DE"/>
        </w:rPr>
        <w:t>R1-2212131</w:t>
      </w:r>
    </w:p>
    <w:p w14:paraId="280242A8" w14:textId="77777777" w:rsidR="000A2E63" w:rsidRPr="000A2E63" w:rsidRDefault="000A2E63" w:rsidP="000A2E63">
      <w:pPr>
        <w:tabs>
          <w:tab w:val="center" w:pos="4536"/>
          <w:tab w:val="right" w:pos="9072"/>
        </w:tabs>
        <w:spacing w:after="0" w:line="240" w:lineRule="auto"/>
        <w:rPr>
          <w:rFonts w:ascii="Times New Roman" w:eastAsia="MS Mincho" w:hAnsi="Times New Roman" w:cs="Times New Roman"/>
          <w:b/>
          <w:bCs/>
          <w:szCs w:val="20"/>
          <w:lang w:val="en-GB" w:eastAsia="ja-JP"/>
        </w:rPr>
      </w:pPr>
      <w:r w:rsidRPr="000A2E63">
        <w:rPr>
          <w:rFonts w:ascii="Times New Roman" w:eastAsia="MS Mincho" w:hAnsi="Times New Roman" w:cs="Times New Roman"/>
          <w:b/>
          <w:bCs/>
          <w:szCs w:val="20"/>
          <w:lang w:val="en-GB" w:eastAsia="ja-JP"/>
        </w:rPr>
        <w:t>Toulouse, France, November 14</w:t>
      </w:r>
      <w:r w:rsidRPr="000A2E63">
        <w:rPr>
          <w:rFonts w:ascii="Times New Roman" w:eastAsia="MS Mincho" w:hAnsi="Times New Roman" w:cs="Times New Roman"/>
          <w:b/>
          <w:bCs/>
          <w:szCs w:val="20"/>
          <w:vertAlign w:val="superscript"/>
          <w:lang w:val="en-GB" w:eastAsia="ja-JP"/>
        </w:rPr>
        <w:t>th</w:t>
      </w:r>
      <w:r w:rsidRPr="000A2E63">
        <w:rPr>
          <w:rFonts w:ascii="Times New Roman" w:eastAsia="MS Mincho" w:hAnsi="Times New Roman" w:cs="Times New Roman"/>
          <w:b/>
          <w:bCs/>
          <w:szCs w:val="20"/>
          <w:lang w:val="en-GB" w:eastAsia="ja-JP"/>
        </w:rPr>
        <w:t xml:space="preserve"> – 18</w:t>
      </w:r>
      <w:r w:rsidRPr="000A2E63">
        <w:rPr>
          <w:rFonts w:ascii="Times New Roman" w:eastAsia="MS Mincho" w:hAnsi="Times New Roman" w:cs="Times New Roman"/>
          <w:b/>
          <w:bCs/>
          <w:szCs w:val="20"/>
          <w:vertAlign w:val="superscript"/>
          <w:lang w:val="en-GB" w:eastAsia="ja-JP"/>
        </w:rPr>
        <w:t>th</w:t>
      </w:r>
      <w:r w:rsidRPr="000A2E63">
        <w:rPr>
          <w:rFonts w:ascii="Times New Roman" w:eastAsia="MS Mincho" w:hAnsi="Times New Roman" w:cs="Times New Roman"/>
          <w:b/>
          <w:bCs/>
          <w:szCs w:val="20"/>
          <w:lang w:val="en-GB" w:eastAsia="ja-JP"/>
        </w:rPr>
        <w:t>, 2022</w:t>
      </w:r>
    </w:p>
    <w:p w14:paraId="79C3F4BB" w14:textId="77777777" w:rsidR="000A2E63" w:rsidRPr="000A2E63" w:rsidRDefault="000A2E63" w:rsidP="000A2E63">
      <w:pPr>
        <w:tabs>
          <w:tab w:val="left" w:pos="1985"/>
        </w:tabs>
        <w:spacing w:after="120" w:line="240" w:lineRule="auto"/>
        <w:jc w:val="both"/>
        <w:rPr>
          <w:rFonts w:ascii="Times New Roman" w:eastAsia="Times New Roman" w:hAnsi="Times New Roman" w:cs="Times New Roman"/>
          <w:b/>
          <w:szCs w:val="24"/>
          <w:lang w:eastAsia="zh-CN"/>
        </w:rPr>
      </w:pPr>
    </w:p>
    <w:p w14:paraId="6D9091A2" w14:textId="77777777" w:rsidR="000A2E63" w:rsidRPr="000A2E63" w:rsidRDefault="000A2E63" w:rsidP="000A2E63">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Agenda item:</w:t>
      </w:r>
      <w:r w:rsidRPr="000A2E63">
        <w:rPr>
          <w:rFonts w:ascii="Times New Roman" w:eastAsia="Times New Roman" w:hAnsi="Times New Roman" w:cs="Times New Roman"/>
          <w:szCs w:val="24"/>
          <w:lang w:eastAsia="zh-CN"/>
        </w:rPr>
        <w:tab/>
        <w:t>9.8.2</w:t>
      </w:r>
    </w:p>
    <w:p w14:paraId="5E2FDCAD" w14:textId="77777777" w:rsidR="000A2E63" w:rsidRPr="000A2E63" w:rsidRDefault="000A2E63" w:rsidP="000A2E63">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Source:</w:t>
      </w:r>
      <w:r w:rsidRPr="000A2E63">
        <w:rPr>
          <w:rFonts w:ascii="Times New Roman" w:eastAsia="Times New Roman" w:hAnsi="Times New Roman" w:cs="Times New Roman"/>
          <w:b/>
          <w:szCs w:val="24"/>
          <w:lang w:eastAsia="zh-CN"/>
        </w:rPr>
        <w:t xml:space="preserve"> </w:t>
      </w:r>
      <w:r w:rsidRPr="000A2E63">
        <w:rPr>
          <w:rFonts w:ascii="Times New Roman" w:eastAsia="Times New Roman" w:hAnsi="Times New Roman" w:cs="Times New Roman"/>
          <w:b/>
          <w:szCs w:val="24"/>
          <w:lang w:eastAsia="zh-CN"/>
        </w:rPr>
        <w:tab/>
      </w:r>
      <w:r w:rsidRPr="000A2E63">
        <w:rPr>
          <w:rFonts w:ascii="Times New Roman" w:eastAsia="Times New Roman" w:hAnsi="Times New Roman" w:cs="Times New Roman"/>
          <w:szCs w:val="24"/>
          <w:lang w:eastAsia="zh-CN"/>
        </w:rPr>
        <w:t>Qualcomm Incorporated</w:t>
      </w:r>
    </w:p>
    <w:p w14:paraId="6D31B72E" w14:textId="77777777" w:rsidR="000A2E63" w:rsidRPr="000A2E63" w:rsidRDefault="000A2E63" w:rsidP="000A2E63">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Title:</w:t>
      </w:r>
      <w:r w:rsidRPr="000A2E63">
        <w:rPr>
          <w:rFonts w:ascii="Times New Roman" w:eastAsia="Times New Roman" w:hAnsi="Times New Roman" w:cs="Times New Roman"/>
          <w:sz w:val="24"/>
          <w:szCs w:val="24"/>
          <w:lang w:eastAsia="zh-CN"/>
        </w:rPr>
        <w:t xml:space="preserve"> </w:t>
      </w:r>
      <w:r w:rsidRPr="000A2E63">
        <w:rPr>
          <w:rFonts w:ascii="Times New Roman" w:eastAsia="Times New Roman" w:hAnsi="Times New Roman" w:cs="Times New Roman"/>
          <w:szCs w:val="24"/>
          <w:lang w:eastAsia="zh-CN"/>
        </w:rPr>
        <w:tab/>
      </w:r>
      <w:r w:rsidRPr="000A2E63">
        <w:rPr>
          <w:rFonts w:ascii="Times New Roman" w:hAnsi="Times New Roman" w:cs="Times New Roman"/>
          <w:lang w:val="en-GB" w:eastAsia="zh-CN"/>
        </w:rPr>
        <w:t>On other NCR aspects</w:t>
      </w:r>
    </w:p>
    <w:p w14:paraId="274D53DA" w14:textId="77777777" w:rsidR="000A2E63" w:rsidRPr="000A2E63" w:rsidRDefault="000A2E63" w:rsidP="000A2E63">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Document for:</w:t>
      </w:r>
      <w:r w:rsidRPr="000A2E63">
        <w:rPr>
          <w:rFonts w:ascii="Times New Roman" w:eastAsia="Times New Roman" w:hAnsi="Times New Roman" w:cs="Times New Roman"/>
          <w:szCs w:val="24"/>
          <w:lang w:eastAsia="zh-CN"/>
        </w:rPr>
        <w:tab/>
        <w:t>Discussion/Decision</w:t>
      </w:r>
    </w:p>
    <w:bookmarkEnd w:id="0"/>
    <w:p w14:paraId="5C969AA6" w14:textId="77777777" w:rsidR="000A2E63" w:rsidRPr="00FC24E4" w:rsidRDefault="000A2E63" w:rsidP="000A2E6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18B7C4F3" w14:textId="77777777" w:rsidR="000A2E63" w:rsidRDefault="000A2E63" w:rsidP="000A2E63">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ED59D1">
        <w:rPr>
          <w:rFonts w:eastAsia="SimSun" w:cs="Times New Roman"/>
          <w:szCs w:val="20"/>
          <w:lang w:val="en-GB" w:eastAsia="zh-CN"/>
        </w:rPr>
        <w:t xml:space="preserve">This contribution provides our views on the </w:t>
      </w:r>
      <w:r>
        <w:rPr>
          <w:rFonts w:eastAsia="SimSun" w:cs="Times New Roman"/>
          <w:szCs w:val="20"/>
          <w:lang w:val="en-GB" w:eastAsia="zh-CN"/>
        </w:rPr>
        <w:t>following objective from the NCR WID:</w:t>
      </w:r>
    </w:p>
    <w:p w14:paraId="5D0B4E4E" w14:textId="77777777" w:rsidR="000A2E63" w:rsidRPr="00E62571" w:rsidRDefault="000A2E63" w:rsidP="000A2E63">
      <w:pPr>
        <w:pStyle w:val="ListParagraph"/>
        <w:numPr>
          <w:ilvl w:val="0"/>
          <w:numId w:val="3"/>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Specify control plane signalling and procedures [RAN2, RAN1]</w:t>
      </w:r>
    </w:p>
    <w:p w14:paraId="15C7F0BD" w14:textId="77777777" w:rsidR="000A2E63" w:rsidRPr="00E62571" w:rsidRDefault="000A2E63" w:rsidP="000A2E63">
      <w:pPr>
        <w:pStyle w:val="ListParagraph"/>
        <w:numPr>
          <w:ilvl w:val="1"/>
          <w:numId w:val="3"/>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The configuration of signalling for side control information indication</w:t>
      </w:r>
    </w:p>
    <w:p w14:paraId="326B3371" w14:textId="77777777" w:rsidR="000A2E63" w:rsidRPr="00E62571" w:rsidRDefault="000A2E63" w:rsidP="000A2E63">
      <w:pPr>
        <w:pStyle w:val="ListParagraph"/>
        <w:numPr>
          <w:ilvl w:val="2"/>
          <w:numId w:val="3"/>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NOTE: Down-selection of solutions in section 7.2 of TR 38.867 is needed</w:t>
      </w:r>
    </w:p>
    <w:p w14:paraId="55A1330B" w14:textId="77777777" w:rsidR="000A2E63" w:rsidRDefault="000A2E63"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2430014B" w14:textId="77777777" w:rsidR="000A2E63" w:rsidRDefault="000A2E63"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We also discuss aspects related to NCR’s power control as noted by NCR WID:</w:t>
      </w:r>
    </w:p>
    <w:p w14:paraId="60AE5AFC" w14:textId="77777777" w:rsidR="000A2E63" w:rsidRDefault="000A2E63" w:rsidP="000A2E63">
      <w:pPr>
        <w:pStyle w:val="ListParagraph"/>
        <w:numPr>
          <w:ilvl w:val="0"/>
          <w:numId w:val="6"/>
        </w:numPr>
        <w:overflowPunct w:val="0"/>
        <w:autoSpaceDE w:val="0"/>
        <w:autoSpaceDN w:val="0"/>
        <w:adjustRightInd w:val="0"/>
        <w:spacing w:after="120" w:line="240" w:lineRule="auto"/>
        <w:jc w:val="both"/>
        <w:textAlignment w:val="baseline"/>
        <w:rPr>
          <w:rFonts w:eastAsia="SimSun" w:cs="Arial"/>
          <w:i/>
          <w:szCs w:val="20"/>
          <w:lang w:val="en-GB" w:eastAsia="zh-CN"/>
        </w:rPr>
      </w:pPr>
      <w:r>
        <w:rPr>
          <w:rFonts w:eastAsia="SimSun" w:cs="Arial"/>
          <w:i/>
          <w:szCs w:val="20"/>
          <w:lang w:val="en-GB" w:eastAsia="zh-CN"/>
        </w:rPr>
        <w:t>Note: Power control aspect will be checked in RAN#98e.</w:t>
      </w:r>
    </w:p>
    <w:p w14:paraId="1BE54CFE" w14:textId="77777777" w:rsidR="000A2E63" w:rsidRDefault="000A2E63"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 xml:space="preserve"> </w:t>
      </w:r>
    </w:p>
    <w:p w14:paraId="46C75EC6" w14:textId="77777777" w:rsidR="00EE564E" w:rsidRDefault="00EE564E" w:rsidP="00EE564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 Support of Legacy Procedures by NCR-MT</w:t>
      </w:r>
    </w:p>
    <w:p w14:paraId="698BBC1A" w14:textId="77777777" w:rsidR="00EE564E" w:rsidRDefault="00EE564E" w:rsidP="00EE564E">
      <w:pPr>
        <w:rPr>
          <w:lang w:val="en-GB" w:eastAsia="zh-CN"/>
        </w:rPr>
      </w:pPr>
      <w:r>
        <w:rPr>
          <w:lang w:val="en-GB" w:eastAsia="zh-CN"/>
        </w:rPr>
        <w:t>RAN1#110-bis-e achieved a few agreements about the NCR-MT’s procedures, for example:</w:t>
      </w:r>
    </w:p>
    <w:tbl>
      <w:tblPr>
        <w:tblStyle w:val="TableGrid"/>
        <w:tblW w:w="0" w:type="auto"/>
        <w:tblLook w:val="04A0" w:firstRow="1" w:lastRow="0" w:firstColumn="1" w:lastColumn="0" w:noHBand="0" w:noVBand="1"/>
      </w:tblPr>
      <w:tblGrid>
        <w:gridCol w:w="9350"/>
      </w:tblGrid>
      <w:tr w:rsidR="00EE564E" w14:paraId="5A379F27" w14:textId="77777777" w:rsidTr="00EE564E">
        <w:tc>
          <w:tcPr>
            <w:tcW w:w="9350" w:type="dxa"/>
          </w:tcPr>
          <w:p w14:paraId="30BC1A0C" w14:textId="77777777" w:rsidR="00EE564E" w:rsidRPr="009F7679" w:rsidRDefault="00EE564E" w:rsidP="00EE564E">
            <w:pPr>
              <w:rPr>
                <w:highlight w:val="green"/>
              </w:rPr>
            </w:pPr>
            <w:r>
              <w:rPr>
                <w:highlight w:val="green"/>
              </w:rPr>
              <w:t>Agreement</w:t>
            </w:r>
            <w:r w:rsidRPr="009F7679">
              <w:rPr>
                <w:highlight w:val="green"/>
              </w:rPr>
              <w:t>:</w:t>
            </w:r>
          </w:p>
          <w:p w14:paraId="3B4007B7" w14:textId="77777777" w:rsidR="00EE564E" w:rsidRPr="00515177" w:rsidRDefault="00EE564E" w:rsidP="00EE564E">
            <w:r w:rsidRPr="00515177">
              <w:t>To support CSI measurement/reporting mechanisms for NCR-MT in C-link</w:t>
            </w:r>
          </w:p>
          <w:p w14:paraId="2274CAA7" w14:textId="77777777" w:rsidR="00EE564E" w:rsidRPr="00515177" w:rsidRDefault="00EE564E" w:rsidP="00EE564E">
            <w:pPr>
              <w:pStyle w:val="ListParagraph"/>
              <w:numPr>
                <w:ilvl w:val="0"/>
                <w:numId w:val="14"/>
              </w:numPr>
              <w:overflowPunct w:val="0"/>
              <w:autoSpaceDE w:val="0"/>
              <w:autoSpaceDN w:val="0"/>
              <w:adjustRightInd w:val="0"/>
              <w:spacing w:after="180"/>
              <w:textAlignment w:val="baseline"/>
            </w:pPr>
            <w:r w:rsidRPr="00515177">
              <w:t>The necessary legacy mechanism for receiving CSI-RS is reused for NCR-MT.</w:t>
            </w:r>
          </w:p>
          <w:p w14:paraId="758F33F8" w14:textId="77777777" w:rsidR="00EE564E" w:rsidRPr="00515177" w:rsidRDefault="00EE564E" w:rsidP="00EE564E">
            <w:pPr>
              <w:pStyle w:val="ListParagraph"/>
              <w:numPr>
                <w:ilvl w:val="0"/>
                <w:numId w:val="14"/>
              </w:numPr>
              <w:overflowPunct w:val="0"/>
              <w:autoSpaceDE w:val="0"/>
              <w:autoSpaceDN w:val="0"/>
              <w:adjustRightInd w:val="0"/>
              <w:spacing w:after="180"/>
              <w:textAlignment w:val="baseline"/>
            </w:pPr>
            <w:r w:rsidRPr="00515177">
              <w:t>The necessary legacy mechanism for reporting CSI is reused for NCR-MT.</w:t>
            </w:r>
          </w:p>
          <w:p w14:paraId="11C99FFE" w14:textId="77777777" w:rsidR="00EE564E" w:rsidRPr="00515177" w:rsidRDefault="00EE564E" w:rsidP="00EE564E">
            <w:pPr>
              <w:pStyle w:val="ListParagraph"/>
              <w:numPr>
                <w:ilvl w:val="0"/>
                <w:numId w:val="14"/>
              </w:numPr>
              <w:overflowPunct w:val="0"/>
              <w:autoSpaceDE w:val="0"/>
              <w:autoSpaceDN w:val="0"/>
              <w:adjustRightInd w:val="0"/>
              <w:spacing w:after="180"/>
              <w:textAlignment w:val="baseline"/>
            </w:pPr>
            <w:r w:rsidRPr="00515177">
              <w:t>FFS: The details of the necessary mechanisms will be further discussed and decided.</w:t>
            </w:r>
          </w:p>
          <w:p w14:paraId="7F0B8027" w14:textId="77777777" w:rsidR="00EE564E" w:rsidRDefault="00EE564E" w:rsidP="00EE564E">
            <w:pPr>
              <w:pStyle w:val="ListParagraph"/>
              <w:numPr>
                <w:ilvl w:val="0"/>
                <w:numId w:val="14"/>
              </w:numPr>
              <w:overflowPunct w:val="0"/>
              <w:autoSpaceDE w:val="0"/>
              <w:autoSpaceDN w:val="0"/>
              <w:adjustRightInd w:val="0"/>
              <w:spacing w:after="180"/>
              <w:textAlignment w:val="baseline"/>
            </w:pPr>
            <w:r w:rsidRPr="00515177">
              <w:t xml:space="preserve">Note: this does not mean all the legacy procedures for receiving CSI-RS and reporting CSI will be supported. </w:t>
            </w:r>
          </w:p>
          <w:p w14:paraId="774050CD" w14:textId="77777777" w:rsidR="00EE564E" w:rsidRPr="009F7679" w:rsidRDefault="00EE564E" w:rsidP="00EE564E">
            <w:pPr>
              <w:rPr>
                <w:highlight w:val="green"/>
              </w:rPr>
            </w:pPr>
            <w:r>
              <w:rPr>
                <w:highlight w:val="green"/>
              </w:rPr>
              <w:t>Agreement</w:t>
            </w:r>
            <w:r w:rsidRPr="009F7679">
              <w:rPr>
                <w:highlight w:val="green"/>
              </w:rPr>
              <w:t>:</w:t>
            </w:r>
          </w:p>
          <w:p w14:paraId="7968B364" w14:textId="77777777" w:rsidR="00EE564E" w:rsidRPr="00CE641C" w:rsidRDefault="00EE564E" w:rsidP="00EE564E">
            <w:r w:rsidRPr="00CE641C">
              <w:t>To support the sounding procedure for NCR-MT in C link, the necessary mechanism of legacy UE sounding procedure is supported.</w:t>
            </w:r>
          </w:p>
          <w:p w14:paraId="40B70B53" w14:textId="77777777" w:rsidR="00EE564E" w:rsidRPr="00CE641C" w:rsidRDefault="00EE564E" w:rsidP="00EE564E">
            <w:pPr>
              <w:pStyle w:val="ListParagraph"/>
              <w:numPr>
                <w:ilvl w:val="0"/>
                <w:numId w:val="15"/>
              </w:numPr>
              <w:overflowPunct w:val="0"/>
              <w:autoSpaceDE w:val="0"/>
              <w:autoSpaceDN w:val="0"/>
              <w:adjustRightInd w:val="0"/>
              <w:spacing w:after="180"/>
              <w:textAlignment w:val="baseline"/>
            </w:pPr>
            <w:r w:rsidRPr="00CE641C">
              <w:t xml:space="preserve">FFS: The details of </w:t>
            </w:r>
            <w:r w:rsidRPr="00CE641C">
              <w:rPr>
                <w:rFonts w:hint="eastAsia"/>
              </w:rPr>
              <w:t>t</w:t>
            </w:r>
            <w:r w:rsidRPr="00CE641C">
              <w:t>he necessary mechanism of legacy UE sounding procedure.</w:t>
            </w:r>
          </w:p>
          <w:p w14:paraId="493A3CB4" w14:textId="77777777" w:rsidR="00EE564E" w:rsidRPr="00EE564E" w:rsidRDefault="00EE564E" w:rsidP="00EE564E">
            <w:pPr>
              <w:pStyle w:val="ListParagraph"/>
              <w:numPr>
                <w:ilvl w:val="0"/>
                <w:numId w:val="15"/>
              </w:numPr>
              <w:overflowPunct w:val="0"/>
              <w:autoSpaceDE w:val="0"/>
              <w:autoSpaceDN w:val="0"/>
              <w:adjustRightInd w:val="0"/>
              <w:spacing w:after="180"/>
              <w:textAlignment w:val="baseline"/>
            </w:pPr>
            <w:r w:rsidRPr="00CE641C">
              <w:t xml:space="preserve">Note: This does not mean all legacy UE sounding procedure will be supported. </w:t>
            </w:r>
          </w:p>
        </w:tc>
      </w:tr>
    </w:tbl>
    <w:p w14:paraId="22E18C3D" w14:textId="77777777" w:rsidR="00EE564E"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41CDB74F" w14:textId="77777777" w:rsidR="00EE564E"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There are FFS items about the details of the necessary mechanisms. However, we believe NCR-MT inherits the same legacy features and mechanisms as those defined for a normal UE, and we do not need to further discuss these aspects.</w:t>
      </w:r>
    </w:p>
    <w:p w14:paraId="0BFE1F8E" w14:textId="77777777" w:rsidR="00EE564E"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2F0D3380" w14:textId="77777777" w:rsidR="00EE564E" w:rsidRPr="00A60487" w:rsidRDefault="00EE564E" w:rsidP="00EE564E">
      <w:pPr>
        <w:rPr>
          <w:b/>
          <w:u w:val="single"/>
        </w:rPr>
      </w:pPr>
      <w:r w:rsidRPr="00A60487">
        <w:rPr>
          <w:b/>
          <w:u w:val="single"/>
        </w:rPr>
        <w:t xml:space="preserve">Proposal </w:t>
      </w:r>
      <w:r>
        <w:rPr>
          <w:b/>
          <w:u w:val="single"/>
        </w:rPr>
        <w:t>1</w:t>
      </w:r>
    </w:p>
    <w:p w14:paraId="287D6FB9" w14:textId="6F623F3D" w:rsidR="00EE564E" w:rsidRPr="00EE564E" w:rsidRDefault="00EE564E" w:rsidP="00EE564E">
      <w:pPr>
        <w:overflowPunct w:val="0"/>
        <w:autoSpaceDE w:val="0"/>
        <w:autoSpaceDN w:val="0"/>
        <w:adjustRightInd w:val="0"/>
        <w:spacing w:after="120" w:line="240" w:lineRule="auto"/>
        <w:textAlignment w:val="baseline"/>
        <w:rPr>
          <w:b/>
        </w:rPr>
      </w:pPr>
      <w:r w:rsidRPr="00EE564E">
        <w:rPr>
          <w:b/>
        </w:rPr>
        <w:lastRenderedPageBreak/>
        <w:t>NCR-MT inherits the same legacy features as those defined for a UE.</w:t>
      </w:r>
      <w:r>
        <w:rPr>
          <w:b/>
        </w:rPr>
        <w:t xml:space="preserve"> </w:t>
      </w:r>
      <w:r w:rsidRPr="00EE564E">
        <w:rPr>
          <w:b/>
        </w:rPr>
        <w:t>There is no need to further discuss or change legacy mechanisms to support NCR-MT’s operation over the control-link.</w:t>
      </w:r>
    </w:p>
    <w:p w14:paraId="6F33C4DA" w14:textId="77777777" w:rsidR="00EE564E"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3013C553" w14:textId="77777777" w:rsidR="00EE564E" w:rsidRDefault="00EE564E" w:rsidP="00EE564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3 Feedback to Side Control Information</w:t>
      </w:r>
    </w:p>
    <w:p w14:paraId="0185CAD0" w14:textId="77777777" w:rsidR="00EE564E" w:rsidRDefault="00EE564E" w:rsidP="00EE564E">
      <w:pPr>
        <w:rPr>
          <w:lang w:val="en-GB" w:eastAsia="zh-CN"/>
        </w:rPr>
      </w:pPr>
      <w:r>
        <w:rPr>
          <w:lang w:val="en-GB" w:eastAsia="zh-CN"/>
        </w:rPr>
        <w:t>RAN1#110-bis-e agreed to the following.</w:t>
      </w:r>
    </w:p>
    <w:tbl>
      <w:tblPr>
        <w:tblStyle w:val="TableGrid"/>
        <w:tblW w:w="0" w:type="auto"/>
        <w:tblLook w:val="04A0" w:firstRow="1" w:lastRow="0" w:firstColumn="1" w:lastColumn="0" w:noHBand="0" w:noVBand="1"/>
      </w:tblPr>
      <w:tblGrid>
        <w:gridCol w:w="9350"/>
      </w:tblGrid>
      <w:tr w:rsidR="00EE564E" w14:paraId="6BC953FB" w14:textId="77777777" w:rsidTr="00EE564E">
        <w:tc>
          <w:tcPr>
            <w:tcW w:w="9350" w:type="dxa"/>
          </w:tcPr>
          <w:p w14:paraId="04C22FE2" w14:textId="77777777" w:rsidR="00EE564E" w:rsidRPr="009F7679" w:rsidRDefault="00EE564E" w:rsidP="00EE564E">
            <w:pPr>
              <w:rPr>
                <w:highlight w:val="green"/>
              </w:rPr>
            </w:pPr>
            <w:r>
              <w:rPr>
                <w:highlight w:val="green"/>
              </w:rPr>
              <w:t>Agreement</w:t>
            </w:r>
            <w:r w:rsidRPr="009F7679">
              <w:rPr>
                <w:highlight w:val="green"/>
              </w:rPr>
              <w:t>:</w:t>
            </w:r>
          </w:p>
          <w:p w14:paraId="28B3ABEC" w14:textId="77777777" w:rsidR="00EE564E" w:rsidRPr="00CE641C" w:rsidRDefault="00EE564E" w:rsidP="00EE564E">
            <w:pPr>
              <w:rPr>
                <w:rFonts w:eastAsia="MS Gothic" w:cs="Times"/>
                <w:iCs/>
                <w:color w:val="000000"/>
                <w:szCs w:val="20"/>
                <w:lang w:val="x-none" w:eastAsia="x-none"/>
              </w:rPr>
            </w:pPr>
            <w:r w:rsidRPr="00CE641C">
              <w:rPr>
                <w:rFonts w:eastAsia="MS Gothic" w:cs="Times"/>
                <w:iCs/>
                <w:color w:val="000000"/>
                <w:szCs w:val="20"/>
                <w:lang w:val="x-none" w:eastAsia="x-none"/>
              </w:rPr>
              <w:t xml:space="preserve">HARQ-ACK feedback for PDSCH carrying the side control information from higher layer </w:t>
            </w:r>
            <w:r w:rsidRPr="00CE641C">
              <w:rPr>
                <w:rFonts w:eastAsia="MS Gothic" w:cs="Times"/>
                <w:iCs/>
                <w:color w:val="000000"/>
                <w:szCs w:val="20"/>
                <w:lang w:eastAsia="x-none"/>
              </w:rPr>
              <w:t xml:space="preserve">(e.g., MAC-CE, RRC) </w:t>
            </w:r>
            <w:r w:rsidRPr="00CE641C">
              <w:rPr>
                <w:rFonts w:eastAsia="MS Gothic" w:cs="Times"/>
                <w:iCs/>
                <w:color w:val="000000"/>
                <w:szCs w:val="20"/>
                <w:lang w:val="x-none" w:eastAsia="x-none"/>
              </w:rPr>
              <w:t>is supported. The legacy HARQ-ACK feedback mechanism is reused.</w:t>
            </w:r>
          </w:p>
          <w:p w14:paraId="0FD75243" w14:textId="77777777" w:rsidR="00EE564E" w:rsidRPr="00CE641C" w:rsidRDefault="00EE564E" w:rsidP="00EE564E">
            <w:pPr>
              <w:numPr>
                <w:ilvl w:val="0"/>
                <w:numId w:val="16"/>
              </w:numPr>
              <w:jc w:val="both"/>
              <w:rPr>
                <w:rFonts w:cs="Times"/>
                <w:iCs/>
              </w:rPr>
            </w:pPr>
            <w:r w:rsidRPr="00CE641C">
              <w:rPr>
                <w:rFonts w:cs="Times"/>
                <w:iCs/>
              </w:rPr>
              <w:t>FFS: Whether HARQ-ACK feedback for PDCCH carrying side control information is supported</w:t>
            </w:r>
          </w:p>
          <w:p w14:paraId="527BA081" w14:textId="77777777" w:rsidR="00EE564E" w:rsidRPr="00EE564E" w:rsidRDefault="00EE564E" w:rsidP="00EE564E">
            <w:pPr>
              <w:numPr>
                <w:ilvl w:val="0"/>
                <w:numId w:val="16"/>
              </w:numPr>
              <w:jc w:val="both"/>
              <w:rPr>
                <w:rFonts w:cs="Times"/>
                <w:iCs/>
              </w:rPr>
            </w:pPr>
            <w:r w:rsidRPr="00CE641C">
              <w:rPr>
                <w:rFonts w:cs="Times"/>
                <w:iCs/>
              </w:rPr>
              <w:t>Note: This does not mean all legacy HARQ-ACK feedback mechanism will be supported.</w:t>
            </w:r>
          </w:p>
        </w:tc>
      </w:tr>
    </w:tbl>
    <w:p w14:paraId="25A7C7E9" w14:textId="77777777" w:rsidR="00EE564E" w:rsidRPr="00F92537" w:rsidRDefault="00EE564E" w:rsidP="00EE564E"/>
    <w:p w14:paraId="30ACF5B6" w14:textId="5FA80F33" w:rsidR="00B2481A"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 xml:space="preserve">Regarding the HARQ-ACK feedback for PDCCH carrying the side control info, there </w:t>
      </w:r>
      <w:r w:rsidR="00B2481A">
        <w:rPr>
          <w:rFonts w:ascii="Arial" w:eastAsia="SimSun" w:hAnsi="Arial" w:cs="Arial"/>
          <w:sz w:val="20"/>
          <w:szCs w:val="20"/>
          <w:lang w:val="en-GB" w:eastAsia="zh-CN"/>
        </w:rPr>
        <w:t xml:space="preserve">is </w:t>
      </w:r>
      <w:r w:rsidR="00C732ED">
        <w:rPr>
          <w:rFonts w:ascii="Arial" w:eastAsia="SimSun" w:hAnsi="Arial" w:cs="Arial"/>
          <w:sz w:val="20"/>
          <w:szCs w:val="20"/>
          <w:lang w:val="en-GB" w:eastAsia="zh-CN"/>
        </w:rPr>
        <w:t xml:space="preserve">a </w:t>
      </w:r>
      <w:r w:rsidR="00B2481A">
        <w:rPr>
          <w:rFonts w:ascii="Arial" w:eastAsia="SimSun" w:hAnsi="Arial" w:cs="Arial"/>
          <w:sz w:val="20"/>
          <w:szCs w:val="20"/>
          <w:lang w:val="en-GB" w:eastAsia="zh-CN"/>
        </w:rPr>
        <w:t>trade-off between reliability (provided by the feedback), and extra signalling overhead and possibly longer end-to-end latency. In our view, it is beneficial to support HARQ-ACK for PDCCH. However, the network should be given the flexibility to enable/disable this feature as needed.</w:t>
      </w:r>
    </w:p>
    <w:p w14:paraId="765B0634" w14:textId="77777777" w:rsidR="00B2481A" w:rsidRDefault="00B2481A"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1D09F6D9" w14:textId="77777777" w:rsidR="00B2481A" w:rsidRPr="00A60487" w:rsidRDefault="00B2481A" w:rsidP="00B2481A">
      <w:pPr>
        <w:rPr>
          <w:b/>
          <w:u w:val="single"/>
        </w:rPr>
      </w:pPr>
      <w:r>
        <w:rPr>
          <w:b/>
          <w:u w:val="single"/>
        </w:rPr>
        <w:t>Observation</w:t>
      </w:r>
      <w:r w:rsidRPr="00A60487">
        <w:rPr>
          <w:b/>
          <w:u w:val="single"/>
        </w:rPr>
        <w:t xml:space="preserve"> </w:t>
      </w:r>
      <w:r>
        <w:rPr>
          <w:b/>
          <w:u w:val="single"/>
        </w:rPr>
        <w:t>1</w:t>
      </w:r>
    </w:p>
    <w:p w14:paraId="224FA359" w14:textId="77777777" w:rsidR="00B2481A" w:rsidRDefault="00B2481A" w:rsidP="00B2481A">
      <w:pPr>
        <w:overflowPunct w:val="0"/>
        <w:autoSpaceDE w:val="0"/>
        <w:autoSpaceDN w:val="0"/>
        <w:adjustRightInd w:val="0"/>
        <w:spacing w:after="120" w:line="240" w:lineRule="auto"/>
        <w:textAlignment w:val="baseline"/>
        <w:rPr>
          <w:b/>
        </w:rPr>
      </w:pPr>
      <w:r>
        <w:rPr>
          <w:b/>
        </w:rPr>
        <w:t>HARQ-ACK feedback for PDCCH carrying side control can improve the reliability at the expense of more overhead and possibly more end-to-end latency.</w:t>
      </w:r>
    </w:p>
    <w:p w14:paraId="643A4FDE" w14:textId="77777777" w:rsidR="00B2481A" w:rsidRDefault="00B2481A" w:rsidP="00B2481A">
      <w:pPr>
        <w:overflowPunct w:val="0"/>
        <w:autoSpaceDE w:val="0"/>
        <w:autoSpaceDN w:val="0"/>
        <w:adjustRightInd w:val="0"/>
        <w:spacing w:after="120" w:line="240" w:lineRule="auto"/>
        <w:textAlignment w:val="baseline"/>
        <w:rPr>
          <w:b/>
        </w:rPr>
      </w:pPr>
    </w:p>
    <w:p w14:paraId="2C16DCE1" w14:textId="77777777" w:rsidR="00B2481A" w:rsidRPr="00A60487" w:rsidRDefault="00B2481A" w:rsidP="00B2481A">
      <w:pPr>
        <w:rPr>
          <w:b/>
          <w:u w:val="single"/>
        </w:rPr>
      </w:pPr>
      <w:r>
        <w:rPr>
          <w:b/>
          <w:u w:val="single"/>
        </w:rPr>
        <w:t>Observation</w:t>
      </w:r>
      <w:r w:rsidRPr="00A60487">
        <w:rPr>
          <w:b/>
          <w:u w:val="single"/>
        </w:rPr>
        <w:t xml:space="preserve"> </w:t>
      </w:r>
      <w:r>
        <w:rPr>
          <w:b/>
          <w:u w:val="single"/>
        </w:rPr>
        <w:t>2</w:t>
      </w:r>
    </w:p>
    <w:p w14:paraId="0424666E" w14:textId="4BF01118" w:rsidR="00B2481A" w:rsidRDefault="00B2481A" w:rsidP="00B2481A">
      <w:pPr>
        <w:overflowPunct w:val="0"/>
        <w:autoSpaceDE w:val="0"/>
        <w:autoSpaceDN w:val="0"/>
        <w:adjustRightInd w:val="0"/>
        <w:spacing w:after="120" w:line="240" w:lineRule="auto"/>
        <w:textAlignment w:val="baseline"/>
        <w:rPr>
          <w:b/>
        </w:rPr>
      </w:pPr>
      <w:r>
        <w:rPr>
          <w:b/>
        </w:rPr>
        <w:t>Network should have the flexibility to enable/disable HARQ-ACK feedback for PDCCH carrying side control.</w:t>
      </w:r>
    </w:p>
    <w:p w14:paraId="037A3067" w14:textId="77777777" w:rsidR="00B2481A" w:rsidRDefault="00B2481A" w:rsidP="00B2481A">
      <w:pPr>
        <w:overflowPunct w:val="0"/>
        <w:autoSpaceDE w:val="0"/>
        <w:autoSpaceDN w:val="0"/>
        <w:adjustRightInd w:val="0"/>
        <w:spacing w:after="120" w:line="240" w:lineRule="auto"/>
        <w:textAlignment w:val="baseline"/>
        <w:rPr>
          <w:b/>
        </w:rPr>
      </w:pPr>
    </w:p>
    <w:p w14:paraId="019F99DE" w14:textId="77777777" w:rsidR="00B2481A" w:rsidRPr="00A60487" w:rsidRDefault="00B2481A" w:rsidP="00B2481A">
      <w:pPr>
        <w:rPr>
          <w:b/>
          <w:u w:val="single"/>
        </w:rPr>
      </w:pPr>
      <w:r>
        <w:rPr>
          <w:b/>
          <w:u w:val="single"/>
        </w:rPr>
        <w:t>Proposal</w:t>
      </w:r>
      <w:r w:rsidRPr="00A60487">
        <w:rPr>
          <w:b/>
          <w:u w:val="single"/>
        </w:rPr>
        <w:t xml:space="preserve"> </w:t>
      </w:r>
      <w:r>
        <w:rPr>
          <w:b/>
          <w:u w:val="single"/>
        </w:rPr>
        <w:t>2</w:t>
      </w:r>
    </w:p>
    <w:p w14:paraId="62DE80D6" w14:textId="77777777" w:rsidR="00B2481A" w:rsidRDefault="00B2481A" w:rsidP="00B2481A">
      <w:pPr>
        <w:overflowPunct w:val="0"/>
        <w:autoSpaceDE w:val="0"/>
        <w:autoSpaceDN w:val="0"/>
        <w:adjustRightInd w:val="0"/>
        <w:spacing w:after="120" w:line="240" w:lineRule="auto"/>
        <w:textAlignment w:val="baseline"/>
        <w:rPr>
          <w:b/>
        </w:rPr>
      </w:pPr>
      <w:r>
        <w:rPr>
          <w:b/>
        </w:rPr>
        <w:t>Support optional HARQ-ACK feedback for PDCCH carrying side control information.</w:t>
      </w:r>
    </w:p>
    <w:p w14:paraId="0D016B83" w14:textId="0ED5BBDC" w:rsidR="00B2481A" w:rsidRPr="00B2481A" w:rsidRDefault="00B2481A" w:rsidP="00B2481A">
      <w:pPr>
        <w:pStyle w:val="ListParagraph"/>
        <w:numPr>
          <w:ilvl w:val="0"/>
          <w:numId w:val="17"/>
        </w:numPr>
        <w:overflowPunct w:val="0"/>
        <w:autoSpaceDE w:val="0"/>
        <w:autoSpaceDN w:val="0"/>
        <w:adjustRightInd w:val="0"/>
        <w:spacing w:after="120" w:line="240" w:lineRule="auto"/>
        <w:textAlignment w:val="baseline"/>
        <w:rPr>
          <w:b/>
        </w:rPr>
      </w:pPr>
      <w:r>
        <w:rPr>
          <w:b/>
        </w:rPr>
        <w:t xml:space="preserve">FFS: how </w:t>
      </w:r>
      <w:r w:rsidR="004D30D6">
        <w:rPr>
          <w:b/>
        </w:rPr>
        <w:t>does</w:t>
      </w:r>
      <w:r>
        <w:rPr>
          <w:b/>
        </w:rPr>
        <w:t xml:space="preserve"> the network enable/disable the feedback?</w:t>
      </w:r>
    </w:p>
    <w:p w14:paraId="0A863066" w14:textId="77777777" w:rsidR="00EE564E" w:rsidRPr="00FC24E4" w:rsidRDefault="00EE564E" w:rsidP="000A2E63">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58FB682F" w14:textId="77777777" w:rsidR="000A2E63" w:rsidRPr="00F92537" w:rsidRDefault="00B2481A" w:rsidP="000A2E6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b/>
        </w:rPr>
      </w:pPr>
      <w:r>
        <w:rPr>
          <w:rFonts w:ascii="Arial" w:eastAsia="Dotum" w:hAnsi="Arial" w:cs="Times New Roman"/>
          <w:sz w:val="36"/>
          <w:szCs w:val="36"/>
          <w:lang w:val="en-GB" w:eastAsia="zh-CN"/>
        </w:rPr>
        <w:t>4</w:t>
      </w:r>
      <w:r w:rsidR="000A2E63">
        <w:rPr>
          <w:rFonts w:ascii="Arial" w:eastAsia="Dotum" w:hAnsi="Arial" w:cs="Times New Roman"/>
          <w:sz w:val="36"/>
          <w:szCs w:val="36"/>
          <w:lang w:val="en-GB" w:eastAsia="zh-CN"/>
        </w:rPr>
        <w:t xml:space="preserve"> Capability Report</w:t>
      </w:r>
    </w:p>
    <w:p w14:paraId="3FD8B694" w14:textId="77777777" w:rsidR="000A2E63" w:rsidRPr="00A60487" w:rsidRDefault="000A2E63" w:rsidP="000A2E63">
      <w:r>
        <w:t>A</w:t>
      </w:r>
      <w:r w:rsidRPr="00A60487">
        <w:t xml:space="preserve"> repeater</w:t>
      </w:r>
      <w:r>
        <w:t>, just like a UE,</w:t>
      </w:r>
      <w:r w:rsidRPr="00A60487">
        <w:t xml:space="preserve"> should share </w:t>
      </w:r>
      <w:r>
        <w:t xml:space="preserve">information about it capability and configurations </w:t>
      </w:r>
      <w:r w:rsidRPr="00A60487">
        <w:t>with the network.</w:t>
      </w:r>
      <w:r>
        <w:t xml:space="preserve"> A</w:t>
      </w:r>
      <w:r w:rsidRPr="00A60487">
        <w:t xml:space="preserve"> repeater has two components: (a) NCR-</w:t>
      </w:r>
      <w:r>
        <w:t>MT</w:t>
      </w:r>
      <w:r w:rsidRPr="00A60487">
        <w:t xml:space="preserve">, and (2) </w:t>
      </w:r>
      <w:r>
        <w:t>NCR-Fwd</w:t>
      </w:r>
      <w:r w:rsidRPr="00A60487">
        <w:t>. NCR-</w:t>
      </w:r>
      <w:r>
        <w:t>MT</w:t>
      </w:r>
      <w:r w:rsidRPr="00A60487">
        <w:t xml:space="preserve"> supports features/capabilities, where some of them may need to be reported to the network. </w:t>
      </w:r>
      <w:r>
        <w:t xml:space="preserve">Legacy procedures, based on RRC, can be used for NCR-MT’s capability reporting. </w:t>
      </w:r>
      <w:r w:rsidRPr="00A60487">
        <w:t xml:space="preserve"> </w:t>
      </w:r>
    </w:p>
    <w:p w14:paraId="77E12DFE" w14:textId="77777777" w:rsidR="000A2E63" w:rsidRPr="00A60487" w:rsidRDefault="000A2E63" w:rsidP="000A2E63">
      <w:pPr>
        <w:rPr>
          <w:b/>
          <w:u w:val="single"/>
        </w:rPr>
      </w:pPr>
      <w:r w:rsidRPr="00A60487">
        <w:rPr>
          <w:b/>
          <w:u w:val="single"/>
        </w:rPr>
        <w:t xml:space="preserve">Proposal </w:t>
      </w:r>
      <w:r w:rsidR="00B2481A">
        <w:rPr>
          <w:b/>
          <w:u w:val="single"/>
        </w:rPr>
        <w:t>3</w:t>
      </w:r>
    </w:p>
    <w:p w14:paraId="14AE6E80" w14:textId="77777777" w:rsidR="000A2E63" w:rsidRPr="00A60487" w:rsidRDefault="000A2E63" w:rsidP="000A2E63">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02D1D67B" w14:textId="77777777" w:rsidR="000A2E63" w:rsidRPr="00A60487" w:rsidRDefault="000A2E63" w:rsidP="000A2E63">
      <w:pPr>
        <w:overflowPunct w:val="0"/>
        <w:autoSpaceDE w:val="0"/>
        <w:autoSpaceDN w:val="0"/>
        <w:adjustRightInd w:val="0"/>
        <w:spacing w:after="120" w:line="240" w:lineRule="auto"/>
        <w:textAlignment w:val="baseline"/>
      </w:pPr>
    </w:p>
    <w:p w14:paraId="471DE614" w14:textId="77777777" w:rsidR="000A2E63" w:rsidRDefault="000A2E63" w:rsidP="000A2E63">
      <w:pPr>
        <w:overflowPunct w:val="0"/>
        <w:autoSpaceDE w:val="0"/>
        <w:autoSpaceDN w:val="0"/>
        <w:adjustRightInd w:val="0"/>
        <w:spacing w:after="120" w:line="240" w:lineRule="auto"/>
        <w:textAlignment w:val="baseline"/>
      </w:pPr>
      <w:r w:rsidRPr="00A60487">
        <w:t xml:space="preserve">The repeater also has some features/configurations associated with its </w:t>
      </w:r>
      <w:r>
        <w:t>NCR-Fwd, that</w:t>
      </w:r>
      <w:r w:rsidRPr="00A60487">
        <w:t xml:space="preserve"> should</w:t>
      </w:r>
      <w:r>
        <w:t xml:space="preserve"> be</w:t>
      </w:r>
      <w:r w:rsidRPr="00A60487">
        <w:t xml:space="preserve"> report</w:t>
      </w:r>
      <w:r>
        <w:t>ed</w:t>
      </w:r>
      <w:r w:rsidRPr="00A60487">
        <w:t xml:space="preserve"> to the network. </w:t>
      </w:r>
      <w:r>
        <w:t>The following was agreed in the last meeting.</w:t>
      </w:r>
    </w:p>
    <w:p w14:paraId="61106C5A" w14:textId="77777777" w:rsidR="000A2E63" w:rsidRDefault="000A2E63" w:rsidP="000A2E63">
      <w:pPr>
        <w:overflowPunct w:val="0"/>
        <w:autoSpaceDE w:val="0"/>
        <w:autoSpaceDN w:val="0"/>
        <w:adjustRightInd w:val="0"/>
        <w:spacing w:after="120" w:line="240" w:lineRule="auto"/>
        <w:textAlignment w:val="baseline"/>
      </w:pPr>
    </w:p>
    <w:tbl>
      <w:tblPr>
        <w:tblStyle w:val="TableGrid"/>
        <w:tblW w:w="0" w:type="auto"/>
        <w:tblLook w:val="04A0" w:firstRow="1" w:lastRow="0" w:firstColumn="1" w:lastColumn="0" w:noHBand="0" w:noVBand="1"/>
      </w:tblPr>
      <w:tblGrid>
        <w:gridCol w:w="9350"/>
      </w:tblGrid>
      <w:tr w:rsidR="000A2E63" w14:paraId="1AF65964" w14:textId="77777777" w:rsidTr="000A2E63">
        <w:tc>
          <w:tcPr>
            <w:tcW w:w="9350" w:type="dxa"/>
          </w:tcPr>
          <w:p w14:paraId="4E19966E" w14:textId="77777777" w:rsidR="000A2E63" w:rsidRPr="00CE641C" w:rsidRDefault="000A2E63" w:rsidP="000A2E63">
            <w:pPr>
              <w:rPr>
                <w:rFonts w:ascii="Times New Roman" w:hAnsi="Times New Roman"/>
                <w:bCs/>
                <w:iCs/>
                <w:color w:val="000000"/>
                <w:highlight w:val="green"/>
              </w:rPr>
            </w:pPr>
            <w:r w:rsidRPr="00CE641C">
              <w:rPr>
                <w:rFonts w:ascii="Times New Roman" w:hAnsi="Times New Roman"/>
                <w:color w:val="000000"/>
                <w:highlight w:val="green"/>
              </w:rPr>
              <w:t>Agreement</w:t>
            </w:r>
          </w:p>
          <w:p w14:paraId="46ACDCB7" w14:textId="77777777" w:rsidR="000A2E63" w:rsidRPr="00CE641C" w:rsidRDefault="000A2E63" w:rsidP="000A2E63">
            <w:pPr>
              <w:rPr>
                <w:rFonts w:eastAsia="SimSun" w:cs="Times"/>
                <w:color w:val="493118"/>
                <w:sz w:val="18"/>
                <w:szCs w:val="18"/>
                <w:lang w:eastAsia="zh-CN"/>
              </w:rPr>
            </w:pPr>
            <w:r w:rsidRPr="00CE641C">
              <w:rPr>
                <w:rFonts w:eastAsia="SimSun" w:cs="Times"/>
                <w:color w:val="493118"/>
                <w:lang w:eastAsia="zh-CN"/>
              </w:rPr>
              <w:t>The following aspects should be NCR capability:</w:t>
            </w:r>
          </w:p>
          <w:p w14:paraId="709C41C1" w14:textId="77777777" w:rsidR="000A2E63" w:rsidRPr="00CE641C" w:rsidRDefault="000A2E63" w:rsidP="000A2E63">
            <w:pPr>
              <w:pStyle w:val="ListParagraph"/>
              <w:numPr>
                <w:ilvl w:val="0"/>
                <w:numId w:val="12"/>
              </w:numPr>
              <w:overflowPunct w:val="0"/>
              <w:autoSpaceDE w:val="0"/>
              <w:autoSpaceDN w:val="0"/>
              <w:adjustRightInd w:val="0"/>
              <w:spacing w:after="180"/>
              <w:textAlignment w:val="baseline"/>
            </w:pPr>
            <w:r w:rsidRPr="00CE641C">
              <w:t>Simultaneous UL transmission of C-link and backhaul link</w:t>
            </w:r>
          </w:p>
          <w:p w14:paraId="35936AD2" w14:textId="77777777" w:rsidR="000A2E63" w:rsidRPr="00CE641C" w:rsidRDefault="000A2E63" w:rsidP="000A2E63">
            <w:pPr>
              <w:pStyle w:val="ListParagraph"/>
              <w:numPr>
                <w:ilvl w:val="0"/>
                <w:numId w:val="12"/>
              </w:numPr>
              <w:overflowPunct w:val="0"/>
              <w:autoSpaceDE w:val="0"/>
              <w:autoSpaceDN w:val="0"/>
              <w:adjustRightInd w:val="0"/>
              <w:spacing w:after="180"/>
              <w:textAlignment w:val="baseline"/>
            </w:pPr>
            <w:r w:rsidRPr="00CE641C">
              <w:t>Adaptive beam for C-link/backhaul-link</w:t>
            </w:r>
          </w:p>
          <w:p w14:paraId="7375CEBB" w14:textId="77777777" w:rsidR="000A2E63" w:rsidRPr="00CE641C" w:rsidRDefault="000A2E63" w:rsidP="000A2E63">
            <w:pPr>
              <w:pStyle w:val="ListParagraph"/>
              <w:numPr>
                <w:ilvl w:val="0"/>
                <w:numId w:val="12"/>
              </w:numPr>
              <w:overflowPunct w:val="0"/>
              <w:autoSpaceDE w:val="0"/>
              <w:autoSpaceDN w:val="0"/>
              <w:adjustRightInd w:val="0"/>
              <w:spacing w:after="180"/>
              <w:textAlignment w:val="baseline"/>
            </w:pPr>
            <w:r w:rsidRPr="00CE641C">
              <w:t>Note-1: Fixed beam for C-link/backhaul link is default capability</w:t>
            </w:r>
          </w:p>
          <w:p w14:paraId="0988D0FA" w14:textId="77777777" w:rsidR="000A2E63" w:rsidRPr="00CE641C" w:rsidRDefault="000A2E63" w:rsidP="000A2E63">
            <w:pPr>
              <w:pStyle w:val="ListParagraph"/>
              <w:numPr>
                <w:ilvl w:val="0"/>
                <w:numId w:val="12"/>
              </w:numPr>
              <w:overflowPunct w:val="0"/>
              <w:autoSpaceDE w:val="0"/>
              <w:autoSpaceDN w:val="0"/>
              <w:adjustRightInd w:val="0"/>
              <w:spacing w:after="180"/>
              <w:textAlignment w:val="baseline"/>
            </w:pPr>
            <w:r w:rsidRPr="00CE641C">
              <w:t>Note-2: TDMed UL transmission of C-link and backhaul link is default capability.</w:t>
            </w:r>
          </w:p>
          <w:p w14:paraId="60C5AFCE" w14:textId="77777777" w:rsidR="000A2E63" w:rsidRDefault="000A2E63" w:rsidP="000A2E63">
            <w:pPr>
              <w:pStyle w:val="ListParagraph"/>
              <w:numPr>
                <w:ilvl w:val="0"/>
                <w:numId w:val="12"/>
              </w:numPr>
              <w:overflowPunct w:val="0"/>
              <w:autoSpaceDE w:val="0"/>
              <w:autoSpaceDN w:val="0"/>
              <w:adjustRightInd w:val="0"/>
              <w:spacing w:after="180"/>
              <w:textAlignment w:val="baseline"/>
            </w:pPr>
            <w:r w:rsidRPr="00CE641C">
              <w:t>FFS: How to define the capability for adaptive beam for C-link/backhaul-link</w:t>
            </w:r>
          </w:p>
        </w:tc>
      </w:tr>
    </w:tbl>
    <w:p w14:paraId="77D005DA" w14:textId="77777777" w:rsidR="000A2E63" w:rsidRDefault="000A2E63" w:rsidP="000A2E63">
      <w:pPr>
        <w:overflowPunct w:val="0"/>
        <w:autoSpaceDE w:val="0"/>
        <w:autoSpaceDN w:val="0"/>
        <w:adjustRightInd w:val="0"/>
        <w:spacing w:after="120" w:line="240" w:lineRule="auto"/>
        <w:textAlignment w:val="baseline"/>
      </w:pPr>
    </w:p>
    <w:p w14:paraId="027D62B4" w14:textId="77777777" w:rsidR="000A2E63" w:rsidRDefault="000A2E63" w:rsidP="000A2E63">
      <w:pPr>
        <w:overflowPunct w:val="0"/>
        <w:autoSpaceDE w:val="0"/>
        <w:autoSpaceDN w:val="0"/>
        <w:adjustRightInd w:val="0"/>
        <w:spacing w:after="120" w:line="240" w:lineRule="auto"/>
        <w:textAlignment w:val="baseline"/>
      </w:pPr>
      <w:r>
        <w:t xml:space="preserve">RAN1#110-bis-e also discussed the information that should be shared with the network to characterize the NCR-Fwd’s access-link beams (e.g., in terms of number of beams and spatial relationship). </w:t>
      </w:r>
    </w:p>
    <w:tbl>
      <w:tblPr>
        <w:tblStyle w:val="TableGrid"/>
        <w:tblW w:w="0" w:type="auto"/>
        <w:tblLook w:val="04A0" w:firstRow="1" w:lastRow="0" w:firstColumn="1" w:lastColumn="0" w:noHBand="0" w:noVBand="1"/>
      </w:tblPr>
      <w:tblGrid>
        <w:gridCol w:w="9350"/>
      </w:tblGrid>
      <w:tr w:rsidR="000A2E63" w14:paraId="3B0E05A1" w14:textId="77777777" w:rsidTr="000A2E63">
        <w:tc>
          <w:tcPr>
            <w:tcW w:w="9350" w:type="dxa"/>
          </w:tcPr>
          <w:p w14:paraId="1F403316" w14:textId="77777777" w:rsidR="000A2E63" w:rsidRPr="00344DBE" w:rsidRDefault="000A2E63" w:rsidP="000A2E63">
            <w:pPr>
              <w:rPr>
                <w:rFonts w:ascii="Times New Roman" w:hAnsi="Times New Roman"/>
                <w:highlight w:val="green"/>
              </w:rPr>
            </w:pPr>
            <w:r>
              <w:rPr>
                <w:rFonts w:ascii="Times New Roman" w:hAnsi="Times New Roman"/>
                <w:highlight w:val="green"/>
              </w:rPr>
              <w:t>Agreement:</w:t>
            </w:r>
          </w:p>
          <w:p w14:paraId="7CF4A676" w14:textId="77777777" w:rsidR="000A2E63" w:rsidRPr="00344DBE" w:rsidRDefault="000A2E63" w:rsidP="000A2E63">
            <w:pPr>
              <w:rPr>
                <w:rFonts w:ascii="Times New Roman" w:eastAsia="DengXian" w:hAnsi="Times New Roman"/>
              </w:rPr>
            </w:pPr>
            <w:r w:rsidRPr="00344DBE">
              <w:rPr>
                <w:rFonts w:ascii="Times New Roman" w:eastAsia="DengXian" w:hAnsi="Times New Roman"/>
              </w:rPr>
              <w:t>The following information can be used to characterize the physical beam(s) supported by NCR-Fwd for access link:</w:t>
            </w:r>
          </w:p>
          <w:p w14:paraId="50A2FB0C"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Number of beams supported for access link</w:t>
            </w:r>
          </w:p>
          <w:p w14:paraId="1785D0B5" w14:textId="77777777" w:rsidR="000A2E63" w:rsidRPr="00344DBE" w:rsidRDefault="000A2E63" w:rsidP="000A2E63">
            <w:pPr>
              <w:pStyle w:val="ListParagraph"/>
              <w:numPr>
                <w:ilvl w:val="1"/>
                <w:numId w:val="13"/>
              </w:numPr>
              <w:overflowPunct w:val="0"/>
              <w:autoSpaceDE w:val="0"/>
              <w:autoSpaceDN w:val="0"/>
              <w:adjustRightInd w:val="0"/>
              <w:spacing w:after="180"/>
              <w:textAlignment w:val="baseline"/>
            </w:pPr>
            <w:r w:rsidRPr="00344DBE">
              <w:t>FFS: How to define the detailed value (e.g., per beam type)</w:t>
            </w:r>
          </w:p>
          <w:p w14:paraId="03A45EF6" w14:textId="77777777" w:rsidR="000A2E63" w:rsidRPr="00344DBE" w:rsidRDefault="000A2E63" w:rsidP="000A2E63">
            <w:pPr>
              <w:pStyle w:val="ListParagraph"/>
              <w:numPr>
                <w:ilvl w:val="1"/>
                <w:numId w:val="13"/>
              </w:numPr>
              <w:overflowPunct w:val="0"/>
              <w:autoSpaceDE w:val="0"/>
              <w:autoSpaceDN w:val="0"/>
              <w:adjustRightInd w:val="0"/>
              <w:spacing w:after="180"/>
              <w:textAlignment w:val="baseline"/>
            </w:pPr>
            <w:r w:rsidRPr="00344DBE">
              <w:t>FFS: Whether the number of beam can be derived by beam layout</w:t>
            </w:r>
          </w:p>
          <w:p w14:paraId="53DBC77A"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Spatial relationship between different beams</w:t>
            </w:r>
          </w:p>
          <w:p w14:paraId="3180716E"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FFS: Beam types defined by the beam width (e.g. two types as wide beam and narrow beam type)</w:t>
            </w:r>
          </w:p>
          <w:p w14:paraId="278C6832"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pPr>
            <w:r w:rsidRPr="00344DBE">
              <w:t>FFS: Beam direction defined by the boresight of beam</w:t>
            </w:r>
          </w:p>
          <w:p w14:paraId="50861AD5"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FFS: Whether/How to deliver this information to gNB</w:t>
            </w:r>
          </w:p>
          <w:p w14:paraId="43C040F5" w14:textId="77777777" w:rsidR="000A2E63" w:rsidRPr="00344DBE"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FFS: Coverage area for each beam type</w:t>
            </w:r>
          </w:p>
          <w:p w14:paraId="4188E034" w14:textId="77777777" w:rsidR="000A2E63" w:rsidRPr="000A2E63" w:rsidRDefault="000A2E63" w:rsidP="000A2E63">
            <w:pPr>
              <w:pStyle w:val="ListParagraph"/>
              <w:numPr>
                <w:ilvl w:val="0"/>
                <w:numId w:val="13"/>
              </w:numPr>
              <w:overflowPunct w:val="0"/>
              <w:autoSpaceDE w:val="0"/>
              <w:autoSpaceDN w:val="0"/>
              <w:adjustRightInd w:val="0"/>
              <w:spacing w:after="180"/>
              <w:textAlignment w:val="baseline"/>
              <w:rPr>
                <w:rFonts w:eastAsia="DengXian"/>
              </w:rPr>
            </w:pPr>
            <w:r w:rsidRPr="00344DBE">
              <w:t xml:space="preserve">FFS: Beam ID (via explicit or implicit means) </w:t>
            </w:r>
          </w:p>
        </w:tc>
      </w:tr>
    </w:tbl>
    <w:p w14:paraId="23FACA0E" w14:textId="77777777" w:rsidR="000A2E63" w:rsidRDefault="000A2E63" w:rsidP="000A2E63">
      <w:pPr>
        <w:overflowPunct w:val="0"/>
        <w:autoSpaceDE w:val="0"/>
        <w:autoSpaceDN w:val="0"/>
        <w:adjustRightInd w:val="0"/>
        <w:spacing w:after="120" w:line="240" w:lineRule="auto"/>
        <w:textAlignment w:val="baseline"/>
      </w:pPr>
    </w:p>
    <w:p w14:paraId="67264962" w14:textId="77777777" w:rsidR="000A2E63" w:rsidRDefault="000A2E63" w:rsidP="000A2E63">
      <w:pPr>
        <w:overflowPunct w:val="0"/>
        <w:autoSpaceDE w:val="0"/>
        <w:autoSpaceDN w:val="0"/>
        <w:adjustRightInd w:val="0"/>
        <w:spacing w:after="120" w:line="240" w:lineRule="auto"/>
        <w:textAlignment w:val="baseline"/>
      </w:pPr>
      <w:r>
        <w:t>In addition to the b</w:t>
      </w:r>
      <w:r w:rsidRPr="00A60487">
        <w:t>eam-related information</w:t>
      </w:r>
      <w:r>
        <w:t>, we believe NCR needs to also share information about its frequency and power configurations.</w:t>
      </w:r>
      <w:r w:rsidRPr="00A60487">
        <w:t xml:space="preserve"> </w:t>
      </w:r>
    </w:p>
    <w:p w14:paraId="42DA2DB0" w14:textId="77777777" w:rsidR="000A2E63" w:rsidRDefault="000A2E63" w:rsidP="000A2E63">
      <w:pPr>
        <w:overflowPunct w:val="0"/>
        <w:autoSpaceDE w:val="0"/>
        <w:autoSpaceDN w:val="0"/>
        <w:adjustRightInd w:val="0"/>
        <w:spacing w:after="120" w:line="240" w:lineRule="auto"/>
        <w:textAlignment w:val="baseline"/>
      </w:pPr>
      <w:r>
        <w:rPr>
          <w:lang w:val="en-GB"/>
        </w:rPr>
        <w:t xml:space="preserve">A repeater may support operating in multiple passbands (consecutive or non-consecutive). The repeater may also have the capability to selectively forward signals in different passbands. If so, such a capability can be utilized by the network to more efficiently (e.g., in terms of interference or power consumption) configure NCR operation – e.g., by instructing the repeater not to forward the signal in a passband for a duration of time. </w:t>
      </w:r>
    </w:p>
    <w:p w14:paraId="471780CB" w14:textId="571DD795" w:rsidR="00EE564E" w:rsidRDefault="00EE564E" w:rsidP="00EE564E">
      <w:pPr>
        <w:overflowPunct w:val="0"/>
        <w:autoSpaceDE w:val="0"/>
        <w:autoSpaceDN w:val="0"/>
        <w:adjustRightInd w:val="0"/>
        <w:spacing w:after="120" w:line="240" w:lineRule="auto"/>
        <w:textAlignment w:val="baseline"/>
      </w:pPr>
      <w:r>
        <w:t xml:space="preserve">It is also beneficial for the network to be able to control NCR’s power. Therefore, the network should have information about NCR’s power setting (such as NCR-Fwd’s </w:t>
      </w:r>
      <w:r w:rsidRPr="00B350AF">
        <w:t xml:space="preserve">max TX power, max amplification gain, </w:t>
      </w:r>
      <w:r>
        <w:t xml:space="preserve">and/or </w:t>
      </w:r>
      <w:r w:rsidRPr="00B350AF">
        <w:t>power headroom</w:t>
      </w:r>
      <w:r>
        <w:t>).</w:t>
      </w:r>
    </w:p>
    <w:p w14:paraId="089C0F14" w14:textId="77777777" w:rsidR="00C85B0E" w:rsidRPr="00B350AF" w:rsidRDefault="00C85B0E" w:rsidP="00C85B0E">
      <w:pPr>
        <w:overflowPunct w:val="0"/>
        <w:autoSpaceDE w:val="0"/>
        <w:autoSpaceDN w:val="0"/>
        <w:adjustRightInd w:val="0"/>
        <w:spacing w:after="120" w:line="240" w:lineRule="auto"/>
        <w:textAlignment w:val="baseline"/>
      </w:pPr>
      <w:r>
        <w:t>As discussed in [1], when multiple RF chains are employed for FR1 NCR beamforming, there could be uncontrollable phase errors on the RF chains. If the relative phase errors across UL chains are different from those across DL chains, the UL composite channel of UE-NCR-</w:t>
      </w:r>
      <w:proofErr w:type="spellStart"/>
      <w:r>
        <w:t>gNB</w:t>
      </w:r>
      <w:proofErr w:type="spellEnd"/>
      <w:r>
        <w:t xml:space="preserve"> link cannot be the same as DL </w:t>
      </w:r>
      <w:r>
        <w:lastRenderedPageBreak/>
        <w:t xml:space="preserve">composite channel of </w:t>
      </w:r>
      <w:proofErr w:type="spellStart"/>
      <w:r>
        <w:t>gNB</w:t>
      </w:r>
      <w:proofErr w:type="spellEnd"/>
      <w:r>
        <w:t>-NCR-UE link, which doesn’t guarantee the TDD reciprocity. Therefore, it would be beneficial if the network has information whether NCR can support UL-DL reciprocity or not.</w:t>
      </w:r>
    </w:p>
    <w:p w14:paraId="2EE454F5" w14:textId="77777777" w:rsidR="00C85B0E" w:rsidRPr="00B350AF" w:rsidRDefault="00C85B0E" w:rsidP="00EE564E">
      <w:pPr>
        <w:overflowPunct w:val="0"/>
        <w:autoSpaceDE w:val="0"/>
        <w:autoSpaceDN w:val="0"/>
        <w:adjustRightInd w:val="0"/>
        <w:spacing w:after="120" w:line="240" w:lineRule="auto"/>
        <w:textAlignment w:val="baseline"/>
      </w:pPr>
    </w:p>
    <w:p w14:paraId="1229705D" w14:textId="77777777" w:rsidR="000A2E63" w:rsidRPr="00A60487" w:rsidRDefault="000A2E63" w:rsidP="000A2E63">
      <w:pPr>
        <w:overflowPunct w:val="0"/>
        <w:autoSpaceDE w:val="0"/>
        <w:autoSpaceDN w:val="0"/>
        <w:adjustRightInd w:val="0"/>
        <w:spacing w:after="120" w:line="240" w:lineRule="auto"/>
        <w:textAlignment w:val="baseline"/>
      </w:pPr>
      <w:r>
        <w:t>NCR-</w:t>
      </w:r>
      <w:proofErr w:type="spellStart"/>
      <w:r>
        <w:t>Fwd’s</w:t>
      </w:r>
      <w:proofErr w:type="spellEnd"/>
      <w:r w:rsidRPr="00A60487">
        <w:t xml:space="preserve"> related information may be reported along with NCR-</w:t>
      </w:r>
      <w:r>
        <w:t>MT</w:t>
      </w:r>
      <w:r w:rsidRPr="00A60487">
        <w:t xml:space="preserve">’s features/capabilities (e.g., by extending the legacy capability reporting framework). Alternatively, </w:t>
      </w:r>
      <w:r>
        <w:t>NCR-Fwd’s</w:t>
      </w:r>
      <w:r w:rsidRPr="00A60487">
        <w:t xml:space="preserve"> related information may be reported separately, and especially via lower-layer (L1/L2) signaling. </w:t>
      </w:r>
    </w:p>
    <w:p w14:paraId="5AC860E6" w14:textId="77777777" w:rsidR="000A2E63" w:rsidRPr="00F92537" w:rsidRDefault="000A2E63" w:rsidP="000A2E63">
      <w:pPr>
        <w:rPr>
          <w:b/>
          <w:u w:val="single"/>
        </w:rPr>
      </w:pPr>
      <w:r w:rsidRPr="00F92537">
        <w:rPr>
          <w:b/>
          <w:u w:val="single"/>
        </w:rPr>
        <w:t xml:space="preserve">Observation </w:t>
      </w:r>
      <w:r w:rsidR="00B2481A">
        <w:rPr>
          <w:b/>
          <w:u w:val="single"/>
        </w:rPr>
        <w:t>3</w:t>
      </w:r>
    </w:p>
    <w:p w14:paraId="543A2B79" w14:textId="77777777" w:rsidR="000A2E63" w:rsidRPr="00F92537" w:rsidRDefault="000A2E63" w:rsidP="000A2E63">
      <w:pPr>
        <w:overflowPunct w:val="0"/>
        <w:autoSpaceDE w:val="0"/>
        <w:autoSpaceDN w:val="0"/>
        <w:adjustRightInd w:val="0"/>
        <w:spacing w:after="120" w:line="240" w:lineRule="auto"/>
        <w:textAlignment w:val="baseline"/>
        <w:rPr>
          <w:b/>
        </w:rPr>
      </w:pPr>
      <w:r w:rsidRPr="00F92537">
        <w:rPr>
          <w:b/>
        </w:rPr>
        <w:t xml:space="preserve">A repeater has features/configurations associated with its NCR-Fwd – such as beam-related (e.g., number of supported TX/RX beams), power-related (e.g., NCR-Fwd’s max power, max amplification gain, or power headroom), and frequency-related information (e.g., supported passbands, and whether NCR supports selective forwarding across the passbands). </w:t>
      </w:r>
    </w:p>
    <w:p w14:paraId="56A2AB94" w14:textId="77777777" w:rsidR="000A2E63" w:rsidRPr="00F92537" w:rsidRDefault="000A2E63" w:rsidP="000A2E63">
      <w:pPr>
        <w:rPr>
          <w:b/>
          <w:u w:val="single"/>
        </w:rPr>
      </w:pPr>
      <w:r w:rsidRPr="00F92537">
        <w:rPr>
          <w:b/>
          <w:u w:val="single"/>
        </w:rPr>
        <w:t xml:space="preserve">Proposal </w:t>
      </w:r>
      <w:r w:rsidR="00B2481A">
        <w:rPr>
          <w:b/>
          <w:u w:val="single"/>
        </w:rPr>
        <w:t>4</w:t>
      </w:r>
    </w:p>
    <w:p w14:paraId="399D38D0" w14:textId="77777777" w:rsidR="000A2E63" w:rsidRPr="00F92537" w:rsidRDefault="000A2E63" w:rsidP="000A2E63">
      <w:pPr>
        <w:overflowPunct w:val="0"/>
        <w:autoSpaceDE w:val="0"/>
        <w:autoSpaceDN w:val="0"/>
        <w:adjustRightInd w:val="0"/>
        <w:spacing w:after="120" w:line="240" w:lineRule="auto"/>
        <w:textAlignment w:val="baseline"/>
        <w:rPr>
          <w:b/>
        </w:rPr>
      </w:pPr>
      <w:r w:rsidRPr="00F92537">
        <w:rPr>
          <w:b/>
        </w:rPr>
        <w:t xml:space="preserve">Support indication of NCR-Fwd’s specific information to the network, including </w:t>
      </w:r>
    </w:p>
    <w:p w14:paraId="5F995A8D" w14:textId="77777777" w:rsidR="000A2E63" w:rsidRPr="00F92537" w:rsidRDefault="000A2E63" w:rsidP="000A2E63">
      <w:pPr>
        <w:numPr>
          <w:ilvl w:val="0"/>
          <w:numId w:val="4"/>
        </w:numPr>
        <w:overflowPunct w:val="0"/>
        <w:autoSpaceDE w:val="0"/>
        <w:autoSpaceDN w:val="0"/>
        <w:adjustRightInd w:val="0"/>
        <w:spacing w:after="120" w:line="240" w:lineRule="auto"/>
        <w:contextualSpacing/>
        <w:textAlignment w:val="baseline"/>
        <w:rPr>
          <w:b/>
        </w:rPr>
      </w:pPr>
      <w:r w:rsidRPr="00F92537">
        <w:rPr>
          <w:b/>
        </w:rPr>
        <w:t>Beam-relate information (</w:t>
      </w:r>
      <w:r w:rsidR="00EE564E">
        <w:rPr>
          <w:b/>
        </w:rPr>
        <w:t>including number of access link beams and their spatial relationships</w:t>
      </w:r>
      <w:r w:rsidRPr="00F92537">
        <w:rPr>
          <w:b/>
        </w:rPr>
        <w:t>)</w:t>
      </w:r>
    </w:p>
    <w:p w14:paraId="1933CF02" w14:textId="77777777" w:rsidR="000A2E63" w:rsidRPr="00F92537" w:rsidRDefault="000A2E63" w:rsidP="000A2E63">
      <w:pPr>
        <w:numPr>
          <w:ilvl w:val="0"/>
          <w:numId w:val="4"/>
        </w:numPr>
        <w:overflowPunct w:val="0"/>
        <w:autoSpaceDE w:val="0"/>
        <w:autoSpaceDN w:val="0"/>
        <w:adjustRightInd w:val="0"/>
        <w:spacing w:after="120" w:line="240" w:lineRule="auto"/>
        <w:contextualSpacing/>
        <w:textAlignment w:val="baseline"/>
        <w:rPr>
          <w:b/>
        </w:rPr>
      </w:pPr>
      <w:r w:rsidRPr="00F92537">
        <w:rPr>
          <w:b/>
        </w:rPr>
        <w:t>Power-related information (e.g., NCR-Fwd’s max power, max amplification gain, or power headroom</w:t>
      </w:r>
      <w:r>
        <w:rPr>
          <w:b/>
        </w:rPr>
        <w:t>)</w:t>
      </w:r>
    </w:p>
    <w:p w14:paraId="739935E6" w14:textId="28E331B8" w:rsidR="000A2E63" w:rsidRDefault="000A2E63" w:rsidP="000A2E63">
      <w:pPr>
        <w:numPr>
          <w:ilvl w:val="0"/>
          <w:numId w:val="4"/>
        </w:numPr>
        <w:overflowPunct w:val="0"/>
        <w:autoSpaceDE w:val="0"/>
        <w:autoSpaceDN w:val="0"/>
        <w:adjustRightInd w:val="0"/>
        <w:spacing w:after="120" w:line="240" w:lineRule="auto"/>
        <w:contextualSpacing/>
        <w:textAlignment w:val="baseline"/>
        <w:rPr>
          <w:b/>
        </w:rPr>
      </w:pPr>
      <w:r w:rsidRPr="00F92537">
        <w:rPr>
          <w:b/>
        </w:rPr>
        <w:t>Frequency-related information (e.g., supported passbands, and whether NCR supports selective forwarding across the passbands)</w:t>
      </w:r>
    </w:p>
    <w:p w14:paraId="2EF7356A" w14:textId="2184546E" w:rsidR="00D6779A" w:rsidRPr="00D6779A" w:rsidRDefault="00D6779A" w:rsidP="00D6779A">
      <w:pPr>
        <w:numPr>
          <w:ilvl w:val="0"/>
          <w:numId w:val="4"/>
        </w:numPr>
        <w:overflowPunct w:val="0"/>
        <w:autoSpaceDE w:val="0"/>
        <w:autoSpaceDN w:val="0"/>
        <w:adjustRightInd w:val="0"/>
        <w:spacing w:after="120" w:line="240" w:lineRule="auto"/>
        <w:contextualSpacing/>
        <w:textAlignment w:val="baseline"/>
        <w:rPr>
          <w:b/>
        </w:rPr>
      </w:pPr>
      <w:r>
        <w:rPr>
          <w:b/>
        </w:rPr>
        <w:t>UL-DL reciprocity information (whether the reciprocity can be supported or not)</w:t>
      </w:r>
    </w:p>
    <w:p w14:paraId="57B59EE8" w14:textId="77777777" w:rsidR="000A2E63" w:rsidRPr="00F92537" w:rsidRDefault="00EE564E" w:rsidP="000A2E63">
      <w:pPr>
        <w:overflowPunct w:val="0"/>
        <w:autoSpaceDE w:val="0"/>
        <w:autoSpaceDN w:val="0"/>
        <w:adjustRightInd w:val="0"/>
        <w:spacing w:after="120" w:line="240" w:lineRule="auto"/>
        <w:contextualSpacing/>
        <w:textAlignment w:val="baseline"/>
        <w:rPr>
          <w:b/>
        </w:rPr>
      </w:pPr>
      <w:r>
        <w:rPr>
          <w:b/>
        </w:rPr>
        <w:t>Decisions about s</w:t>
      </w:r>
      <w:r w:rsidR="000A2E63" w:rsidRPr="00F92537">
        <w:rPr>
          <w:b/>
        </w:rPr>
        <w:t>ignaling method (e.g., new L1/L2 signaling, or L3 signaling with a possibility of joint report with repeater’s other features/capabilities associated with NCR-MT)</w:t>
      </w:r>
      <w:r>
        <w:rPr>
          <w:b/>
        </w:rPr>
        <w:t xml:space="preserve"> is left to RAN2. </w:t>
      </w:r>
    </w:p>
    <w:p w14:paraId="6D9E08EA" w14:textId="77777777" w:rsidR="000A2E63" w:rsidRDefault="000A2E63" w:rsidP="000A2E63"/>
    <w:p w14:paraId="62C8E2A8" w14:textId="77777777" w:rsidR="000A2E63" w:rsidRDefault="00B2481A" w:rsidP="000A2E6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5</w:t>
      </w:r>
      <w:r w:rsidR="000A2E63">
        <w:rPr>
          <w:rFonts w:ascii="Arial" w:eastAsia="Dotum" w:hAnsi="Arial" w:cs="Times New Roman"/>
          <w:sz w:val="36"/>
          <w:szCs w:val="36"/>
          <w:lang w:val="en-GB" w:eastAsia="zh-CN"/>
        </w:rPr>
        <w:t xml:space="preserve"> Power Control</w:t>
      </w:r>
    </w:p>
    <w:p w14:paraId="4FAC255E" w14:textId="77777777" w:rsidR="000A2E63" w:rsidRDefault="000A2E63" w:rsidP="000A2E63">
      <w:pPr>
        <w:rPr>
          <w:lang w:val="en-GB"/>
        </w:rPr>
      </w:pPr>
      <w:r>
        <w:rPr>
          <w:lang w:val="en-GB"/>
        </w:rPr>
        <w:t>RAN1#109e agreed to the following</w:t>
      </w:r>
    </w:p>
    <w:tbl>
      <w:tblPr>
        <w:tblStyle w:val="TableGrid"/>
        <w:tblW w:w="0" w:type="auto"/>
        <w:tblLook w:val="04A0" w:firstRow="1" w:lastRow="0" w:firstColumn="1" w:lastColumn="0" w:noHBand="0" w:noVBand="1"/>
      </w:tblPr>
      <w:tblGrid>
        <w:gridCol w:w="9350"/>
      </w:tblGrid>
      <w:tr w:rsidR="000A2E63" w14:paraId="6E2757E5" w14:textId="77777777" w:rsidTr="00677E46">
        <w:tc>
          <w:tcPr>
            <w:tcW w:w="9350" w:type="dxa"/>
            <w:tcBorders>
              <w:top w:val="single" w:sz="4" w:space="0" w:color="auto"/>
              <w:left w:val="single" w:sz="4" w:space="0" w:color="auto"/>
              <w:bottom w:val="single" w:sz="4" w:space="0" w:color="auto"/>
              <w:right w:val="single" w:sz="4" w:space="0" w:color="auto"/>
            </w:tcBorders>
            <w:hideMark/>
          </w:tcPr>
          <w:p w14:paraId="1A2254ED" w14:textId="77777777" w:rsidR="000A2E63" w:rsidRDefault="000A2E63" w:rsidP="00677E46">
            <w:pPr>
              <w:pStyle w:val="NormalWeb"/>
              <w:shd w:val="clear" w:color="auto" w:fill="FFFFFF"/>
              <w:spacing w:before="0" w:beforeAutospacing="0" w:after="0" w:afterAutospacing="0"/>
              <w:rPr>
                <w:rStyle w:val="Emphasis"/>
                <w:rFonts w:ascii="Times" w:hAnsi="Times" w:cs="Times"/>
                <w:i w:val="0"/>
                <w:color w:val="auto"/>
                <w:sz w:val="20"/>
                <w:szCs w:val="20"/>
                <w:highlight w:val="green"/>
                <w:shd w:val="clear" w:color="auto" w:fill="FFFF00"/>
              </w:rPr>
            </w:pPr>
            <w:r>
              <w:rPr>
                <w:rStyle w:val="Emphasis"/>
                <w:rFonts w:ascii="Times" w:hAnsi="Times" w:cs="Times"/>
                <w:color w:val="auto"/>
                <w:sz w:val="20"/>
                <w:szCs w:val="20"/>
                <w:highlight w:val="green"/>
              </w:rPr>
              <w:t>Agreement</w:t>
            </w:r>
          </w:p>
          <w:p w14:paraId="3220D068" w14:textId="77777777" w:rsidR="000A2E63" w:rsidRDefault="000A2E63" w:rsidP="00677E46">
            <w:pPr>
              <w:pStyle w:val="NormalWeb"/>
              <w:spacing w:before="0" w:beforeAutospacing="0" w:after="0" w:afterAutospacing="0"/>
            </w:pPr>
            <w:r>
              <w:rPr>
                <w:rFonts w:ascii="Times" w:hAnsi="Times" w:cs="Times"/>
                <w:color w:val="auto"/>
                <w:sz w:val="20"/>
                <w:szCs w:val="20"/>
              </w:rPr>
              <w:t>The controlling of the amplifying gain of NCR-Fwd is considered to enable the power control of NCR-Fwd if PC is recommended as side control information for NCR in Rel-18</w:t>
            </w:r>
          </w:p>
          <w:p w14:paraId="2FE7E41F" w14:textId="77777777" w:rsidR="000A2E63" w:rsidRDefault="000A2E63" w:rsidP="000A2E63">
            <w:pPr>
              <w:pStyle w:val="ListParagraph"/>
              <w:numPr>
                <w:ilvl w:val="0"/>
                <w:numId w:val="5"/>
              </w:numPr>
              <w:overflowPunct w:val="0"/>
              <w:autoSpaceDE w:val="0"/>
              <w:autoSpaceDN w:val="0"/>
              <w:adjustRightInd w:val="0"/>
              <w:spacing w:after="180"/>
              <w:textAlignment w:val="baseline"/>
            </w:pPr>
            <w:r>
              <w:t>FFS: Controlling of the transmission power of NCR-Fwd</w:t>
            </w:r>
          </w:p>
        </w:tc>
      </w:tr>
    </w:tbl>
    <w:p w14:paraId="7663D5D6" w14:textId="77777777" w:rsidR="000A2E63" w:rsidRDefault="000A2E63" w:rsidP="000A2E63"/>
    <w:p w14:paraId="6F0F7770" w14:textId="77777777" w:rsidR="000A2E63" w:rsidRDefault="000A2E63" w:rsidP="000A2E63">
      <w:r>
        <w:t>The approved NCR WID also included the following note.</w:t>
      </w:r>
    </w:p>
    <w:tbl>
      <w:tblPr>
        <w:tblStyle w:val="TableGrid"/>
        <w:tblW w:w="0" w:type="auto"/>
        <w:tblLook w:val="04A0" w:firstRow="1" w:lastRow="0" w:firstColumn="1" w:lastColumn="0" w:noHBand="0" w:noVBand="1"/>
      </w:tblPr>
      <w:tblGrid>
        <w:gridCol w:w="9350"/>
      </w:tblGrid>
      <w:tr w:rsidR="000A2E63" w14:paraId="45E42844" w14:textId="77777777" w:rsidTr="00677E46">
        <w:tc>
          <w:tcPr>
            <w:tcW w:w="9350" w:type="dxa"/>
            <w:tcBorders>
              <w:top w:val="single" w:sz="4" w:space="0" w:color="auto"/>
              <w:left w:val="single" w:sz="4" w:space="0" w:color="auto"/>
              <w:bottom w:val="single" w:sz="4" w:space="0" w:color="auto"/>
              <w:right w:val="single" w:sz="4" w:space="0" w:color="auto"/>
            </w:tcBorders>
            <w:hideMark/>
          </w:tcPr>
          <w:p w14:paraId="3F65F7E7" w14:textId="77777777" w:rsidR="000A2E63" w:rsidRDefault="000A2E63" w:rsidP="000A2E63">
            <w:pPr>
              <w:pStyle w:val="ListParagraph"/>
              <w:numPr>
                <w:ilvl w:val="0"/>
                <w:numId w:val="6"/>
              </w:numPr>
              <w:overflowPunct w:val="0"/>
              <w:autoSpaceDE w:val="0"/>
              <w:autoSpaceDN w:val="0"/>
              <w:adjustRightInd w:val="0"/>
              <w:spacing w:after="120"/>
              <w:jc w:val="both"/>
              <w:textAlignment w:val="baseline"/>
              <w:rPr>
                <w:rFonts w:eastAsia="SimSun" w:cs="Arial"/>
                <w:i/>
                <w:szCs w:val="20"/>
                <w:lang w:val="en-GB" w:eastAsia="zh-CN"/>
              </w:rPr>
            </w:pPr>
            <w:r>
              <w:rPr>
                <w:rFonts w:eastAsia="SimSun" w:cs="Arial"/>
                <w:i/>
                <w:szCs w:val="20"/>
                <w:lang w:val="en-GB" w:eastAsia="zh-CN"/>
              </w:rPr>
              <w:t>Note: Power control aspect will be checked in RAN#98e.</w:t>
            </w:r>
          </w:p>
        </w:tc>
      </w:tr>
    </w:tbl>
    <w:p w14:paraId="5CE9A041" w14:textId="77777777" w:rsidR="000A2E63" w:rsidRDefault="000A2E63" w:rsidP="000A2E63"/>
    <w:p w14:paraId="09B5B881" w14:textId="77777777" w:rsidR="000A2E63" w:rsidRDefault="000A2E63" w:rsidP="000A2E63">
      <w:r>
        <w:t xml:space="preserve">In this section, we provide our views on the benefits and necessity of supporting NCR’s power control. </w:t>
      </w:r>
    </w:p>
    <w:p w14:paraId="1B73ED01" w14:textId="77777777" w:rsidR="000A2E63" w:rsidRDefault="000A2E63" w:rsidP="000A2E63">
      <w:r>
        <w:t xml:space="preserve">We should note that the TX power of a repeater is subject to (a) a max output TX power, and (b) a max amplification gain. That is, without any side control from the gNB, NCR-Fwd may attempt to set its output power as follows (also in </w:t>
      </w:r>
      <w:r>
        <w:fldChar w:fldCharType="begin"/>
      </w:r>
      <w:r>
        <w:instrText xml:space="preserve"> REF _Ref110857907 \h </w:instrText>
      </w:r>
      <w:r>
        <w:fldChar w:fldCharType="separate"/>
      </w:r>
      <w:r>
        <w:t xml:space="preserve">Figure </w:t>
      </w:r>
      <w:r>
        <w:rPr>
          <w:noProof/>
        </w:rPr>
        <w:t>2</w:t>
      </w:r>
      <w:r>
        <w:fldChar w:fldCharType="end"/>
      </w:r>
      <w:r>
        <w:t>),</w:t>
      </w:r>
    </w:p>
    <w:p w14:paraId="4958056C" w14:textId="77777777" w:rsidR="000A2E63" w:rsidRDefault="00000000" w:rsidP="000A2E63">
      <w:pPr>
        <w:jc w:val="center"/>
      </w:pPr>
      <m:oMath>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func>
          <m:funcPr>
            <m:ctrlPr>
              <w:rPr>
                <w:rFonts w:ascii="Cambria Math" w:eastAsiaTheme="minorEastAsia" w:hAnsi="Cambria Math"/>
                <w:b/>
                <w:bCs/>
                <w:i/>
                <w:iCs/>
                <w:color w:val="000000"/>
                <w:kern w:val="24"/>
                <w:sz w:val="24"/>
                <w:szCs w:val="24"/>
              </w:rPr>
            </m:ctrlPr>
          </m:funcPr>
          <m:fName>
            <m:r>
              <m:rPr>
                <m:sty m:val="b"/>
              </m:rPr>
              <w:rPr>
                <w:rFonts w:ascii="Cambria Math" w:eastAsiaTheme="minorEastAsia" w:hAnsi="Cambria Math"/>
                <w:color w:val="000000"/>
                <w:kern w:val="24"/>
              </w:rPr>
              <m:t>min</m:t>
            </m:r>
          </m:fName>
          <m:e>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e>
        </m:func>
      </m:oMath>
      <w:r w:rsidR="000A2E63">
        <w:rPr>
          <w:rFonts w:eastAsiaTheme="minorEastAsia"/>
          <w:b/>
          <w:bCs/>
          <w:iCs/>
          <w:color w:val="000000"/>
          <w:kern w:val="24"/>
          <w:sz w:val="24"/>
          <w:szCs w:val="24"/>
        </w:rPr>
        <w:t xml:space="preserve">   </w:t>
      </w:r>
      <w:r w:rsidR="000A2E63">
        <w:rPr>
          <w:rFonts w:eastAsiaTheme="minorEastAsia"/>
          <w:b/>
          <w:bCs/>
          <w:iCs/>
          <w:color w:val="000000"/>
          <w:kern w:val="24"/>
          <w:sz w:val="24"/>
          <w:szCs w:val="24"/>
        </w:rPr>
        <w:tab/>
      </w:r>
      <w:r w:rsidR="000A2E63">
        <w:rPr>
          <w:rFonts w:eastAsiaTheme="minorEastAsia"/>
          <w:b/>
          <w:bCs/>
          <w:iCs/>
          <w:color w:val="000000"/>
          <w:kern w:val="24"/>
          <w:szCs w:val="24"/>
        </w:rPr>
        <w:t>(1)</w:t>
      </w:r>
    </w:p>
    <w:p w14:paraId="50D4D3B4" w14:textId="77777777" w:rsidR="000A2E63" w:rsidRDefault="000A2E63" w:rsidP="000A2E63">
      <w:pPr>
        <w:keepNext/>
        <w:jc w:val="center"/>
      </w:pPr>
      <w:r>
        <w:rPr>
          <w:noProof/>
        </w:rPr>
        <w:drawing>
          <wp:inline distT="0" distB="0" distL="0" distR="0" wp14:anchorId="144445AB" wp14:editId="1A31601B">
            <wp:extent cx="2847975" cy="1666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1666875"/>
                    </a:xfrm>
                    <a:prstGeom prst="rect">
                      <a:avLst/>
                    </a:prstGeom>
                    <a:noFill/>
                    <a:ln>
                      <a:noFill/>
                    </a:ln>
                  </pic:spPr>
                </pic:pic>
              </a:graphicData>
            </a:graphic>
          </wp:inline>
        </w:drawing>
      </w:r>
    </w:p>
    <w:p w14:paraId="0FCA8792" w14:textId="77777777" w:rsidR="000A2E63" w:rsidRDefault="000A2E63" w:rsidP="000A2E63">
      <w:pPr>
        <w:pStyle w:val="Caption"/>
        <w:jc w:val="center"/>
      </w:pPr>
      <w:bookmarkStart w:id="1" w:name="_Ref110857907"/>
      <w:r>
        <w:t xml:space="preserve">Figure </w:t>
      </w:r>
      <w:fldSimple w:instr=" SEQ Figure \* ARABIC ">
        <w:r>
          <w:rPr>
            <w:noProof/>
          </w:rPr>
          <w:t>2</w:t>
        </w:r>
      </w:fldSimple>
      <w:bookmarkEnd w:id="1"/>
      <w:r>
        <w:t xml:space="preserve"> NCR output power (gain-limited vs TX power-limited regions)</w:t>
      </w:r>
    </w:p>
    <w:p w14:paraId="67BFA415" w14:textId="77777777" w:rsidR="000A2E63" w:rsidRDefault="000A2E63" w:rsidP="000A2E63"/>
    <w:p w14:paraId="3E06B4BD" w14:textId="77777777" w:rsidR="000A2E63" w:rsidRDefault="000A2E63" w:rsidP="000A2E63">
      <w:pPr>
        <w:rPr>
          <w:b/>
          <w:u w:val="single"/>
        </w:rPr>
      </w:pPr>
      <w:r>
        <w:rPr>
          <w:b/>
          <w:u w:val="single"/>
        </w:rPr>
        <w:t xml:space="preserve">Observation </w:t>
      </w:r>
      <w:r w:rsidR="00B2481A">
        <w:rPr>
          <w:b/>
          <w:u w:val="single"/>
        </w:rPr>
        <w:t>4</w:t>
      </w:r>
    </w:p>
    <w:p w14:paraId="22507AD9" w14:textId="77777777" w:rsidR="000A2E63" w:rsidRDefault="000A2E63" w:rsidP="000A2E63">
      <w:pPr>
        <w:rPr>
          <w:b/>
        </w:rPr>
      </w:pPr>
      <w:r>
        <w:rPr>
          <w:b/>
        </w:rPr>
        <w:t>Repeater’s output power is subject to (a) a max TX power, and (b) a max amplification gain. Therefore, depending on the level of input power, the repeater may operate in one of gain-limited or TX power-limited regions.</w:t>
      </w:r>
    </w:p>
    <w:p w14:paraId="0485958D" w14:textId="77777777" w:rsidR="000A2E63" w:rsidRDefault="000A2E63" w:rsidP="000A2E63"/>
    <w:p w14:paraId="13C6F6FA" w14:textId="77777777" w:rsidR="000A2E63" w:rsidRDefault="000A2E63" w:rsidP="000A2E63">
      <w:r>
        <w:t>NCR’s power control may have different use-cases:</w:t>
      </w:r>
    </w:p>
    <w:p w14:paraId="52FD8380" w14:textId="77777777" w:rsidR="000A2E63" w:rsidRDefault="000A2E63" w:rsidP="000A2E63">
      <w:pPr>
        <w:pStyle w:val="ListParagraph"/>
        <w:numPr>
          <w:ilvl w:val="0"/>
          <w:numId w:val="7"/>
        </w:numPr>
        <w:spacing w:line="256" w:lineRule="auto"/>
        <w:ind w:left="630"/>
      </w:pPr>
      <w:r>
        <w:t>EPRE control (e.g., to maintain constant TX power for SSB/CSI-RS)</w:t>
      </w:r>
    </w:p>
    <w:p w14:paraId="62AAA58E" w14:textId="77777777" w:rsidR="000A2E63" w:rsidRDefault="000A2E63" w:rsidP="000A2E63">
      <w:pPr>
        <w:pStyle w:val="ListParagraph"/>
        <w:numPr>
          <w:ilvl w:val="0"/>
          <w:numId w:val="7"/>
        </w:numPr>
        <w:spacing w:line="256" w:lineRule="auto"/>
        <w:ind w:left="630"/>
      </w:pPr>
      <w:r>
        <w:t>Interference management</w:t>
      </w:r>
    </w:p>
    <w:p w14:paraId="479E338B" w14:textId="77777777" w:rsidR="000A2E63" w:rsidRDefault="000A2E63" w:rsidP="000A2E63">
      <w:pPr>
        <w:pStyle w:val="ListParagraph"/>
        <w:numPr>
          <w:ilvl w:val="0"/>
          <w:numId w:val="7"/>
        </w:numPr>
        <w:spacing w:line="256" w:lineRule="auto"/>
        <w:ind w:left="630"/>
      </w:pPr>
      <w:r>
        <w:t xml:space="preserve">Proper and timely gain control to avoid NCR’s PA saturation. </w:t>
      </w:r>
    </w:p>
    <w:p w14:paraId="1B2C381C" w14:textId="77777777" w:rsidR="000A2E63" w:rsidRDefault="000A2E63" w:rsidP="000A2E63">
      <w:pPr>
        <w:pStyle w:val="ListParagraph"/>
        <w:numPr>
          <w:ilvl w:val="1"/>
          <w:numId w:val="7"/>
        </w:numPr>
        <w:spacing w:line="256" w:lineRule="auto"/>
      </w:pPr>
      <w:r>
        <w:t>There can be changes in the input power of NCR – e.g., in DL and due to different RB allocations across different slots, or changes in the RX beam and/or channel that may lead to changes in the RX power or PAPR of the input signal. Without prior indication, NCR’s PA may saturate (or not operate efficiently) while the NCR’s autonomous gain control converges. This will have impact on EVM, and UE’s E2E throughput.</w:t>
      </w:r>
    </w:p>
    <w:p w14:paraId="0A715122" w14:textId="77777777" w:rsidR="000A2E63" w:rsidRDefault="000A2E63" w:rsidP="000A2E63">
      <w:pPr>
        <w:pStyle w:val="ListParagraph"/>
        <w:numPr>
          <w:ilvl w:val="0"/>
          <w:numId w:val="7"/>
        </w:numPr>
        <w:spacing w:line="256" w:lineRule="auto"/>
        <w:ind w:left="630"/>
      </w:pPr>
      <w:r>
        <w:t xml:space="preserve">Proper UL TX power control between NCR-MT and NCR-Fwd, when supporting simultaneous (FDM) communication of NCR-MT and NCR-Fwd in UL. </w:t>
      </w:r>
    </w:p>
    <w:p w14:paraId="3842395A" w14:textId="77777777" w:rsidR="000A2E63" w:rsidRDefault="000A2E63" w:rsidP="000A2E63">
      <w:pPr>
        <w:pStyle w:val="ListParagraph"/>
        <w:numPr>
          <w:ilvl w:val="1"/>
          <w:numId w:val="7"/>
        </w:numPr>
        <w:spacing w:line="256" w:lineRule="auto"/>
      </w:pPr>
      <w:r>
        <w:t>In such cases, proper power control may be needed to address power sharing and/or any power mismatch between the two FDMed signals.</w:t>
      </w:r>
    </w:p>
    <w:p w14:paraId="5F9F0DC8" w14:textId="77777777" w:rsidR="000A2E63" w:rsidRDefault="000A2E63" w:rsidP="000A2E63">
      <w:pPr>
        <w:pStyle w:val="ListParagraph"/>
        <w:numPr>
          <w:ilvl w:val="0"/>
          <w:numId w:val="7"/>
        </w:numPr>
        <w:spacing w:line="256" w:lineRule="auto"/>
        <w:ind w:left="630"/>
      </w:pPr>
      <w:r>
        <w:t>Power saving at the NCR, UE, and/or gNB.</w:t>
      </w:r>
    </w:p>
    <w:p w14:paraId="73E0948F" w14:textId="77777777" w:rsidR="000A2E63" w:rsidRDefault="000A2E63" w:rsidP="000A2E63">
      <w:pPr>
        <w:pStyle w:val="ListParagraph"/>
        <w:numPr>
          <w:ilvl w:val="0"/>
          <w:numId w:val="7"/>
        </w:numPr>
        <w:spacing w:line="256" w:lineRule="auto"/>
        <w:ind w:left="630"/>
      </w:pPr>
      <w:r>
        <w:t>Avoiding NCR’s oscillation due to self-feedback loop.</w:t>
      </w:r>
    </w:p>
    <w:p w14:paraId="09B0292A" w14:textId="77777777" w:rsidR="000A2E63" w:rsidRDefault="000A2E63" w:rsidP="000A2E63">
      <w:pPr>
        <w:pStyle w:val="ListParagraph"/>
        <w:numPr>
          <w:ilvl w:val="1"/>
          <w:numId w:val="7"/>
        </w:numPr>
        <w:spacing w:line="256" w:lineRule="auto"/>
      </w:pPr>
      <w:r>
        <w:t xml:space="preserve">However, this can be addressed autonomously by NCR, without a need for side control. </w:t>
      </w:r>
    </w:p>
    <w:p w14:paraId="4627E36F" w14:textId="77777777" w:rsidR="000A2E63" w:rsidRDefault="000A2E63" w:rsidP="000A2E63">
      <w:r>
        <w:t xml:space="preserve"> </w:t>
      </w:r>
    </w:p>
    <w:p w14:paraId="034CF57D" w14:textId="77777777" w:rsidR="000A2E63" w:rsidRDefault="000A2E63" w:rsidP="000A2E63">
      <w:pPr>
        <w:rPr>
          <w:b/>
          <w:u w:val="single"/>
        </w:rPr>
      </w:pPr>
      <w:r>
        <w:rPr>
          <w:b/>
          <w:u w:val="single"/>
        </w:rPr>
        <w:t xml:space="preserve">Observation </w:t>
      </w:r>
      <w:r w:rsidR="00B2481A">
        <w:rPr>
          <w:b/>
          <w:u w:val="single"/>
        </w:rPr>
        <w:t>5</w:t>
      </w:r>
    </w:p>
    <w:p w14:paraId="3A727FEC" w14:textId="77777777" w:rsidR="000A2E63" w:rsidRDefault="000A2E63" w:rsidP="000A2E63">
      <w:pPr>
        <w:rPr>
          <w:b/>
        </w:rPr>
      </w:pPr>
      <w:r>
        <w:rPr>
          <w:b/>
        </w:rPr>
        <w:t>NCR’s power control, via side control, is needed at least for the following use-cases:</w:t>
      </w:r>
    </w:p>
    <w:p w14:paraId="55A24D76" w14:textId="77777777" w:rsidR="000A2E63" w:rsidRDefault="000A2E63" w:rsidP="000A2E63">
      <w:pPr>
        <w:pStyle w:val="ListParagraph"/>
        <w:numPr>
          <w:ilvl w:val="0"/>
          <w:numId w:val="8"/>
        </w:numPr>
        <w:spacing w:line="256" w:lineRule="auto"/>
        <w:rPr>
          <w:b/>
        </w:rPr>
      </w:pPr>
      <w:r>
        <w:rPr>
          <w:b/>
        </w:rPr>
        <w:t>EPRE control (e.g., to maintain constant TX power for SSB/CSI-RS)</w:t>
      </w:r>
    </w:p>
    <w:p w14:paraId="4E8298B5" w14:textId="77777777" w:rsidR="000A2E63" w:rsidRDefault="000A2E63" w:rsidP="000A2E63">
      <w:pPr>
        <w:pStyle w:val="ListParagraph"/>
        <w:numPr>
          <w:ilvl w:val="0"/>
          <w:numId w:val="8"/>
        </w:numPr>
        <w:spacing w:line="256" w:lineRule="auto"/>
        <w:rPr>
          <w:b/>
        </w:rPr>
      </w:pPr>
      <w:r>
        <w:rPr>
          <w:b/>
        </w:rPr>
        <w:lastRenderedPageBreak/>
        <w:t>Interference management</w:t>
      </w:r>
    </w:p>
    <w:p w14:paraId="032946BA" w14:textId="77777777" w:rsidR="000A2E63" w:rsidRDefault="000A2E63" w:rsidP="000A2E63">
      <w:pPr>
        <w:pStyle w:val="ListParagraph"/>
        <w:numPr>
          <w:ilvl w:val="0"/>
          <w:numId w:val="8"/>
        </w:numPr>
        <w:spacing w:line="256" w:lineRule="auto"/>
        <w:rPr>
          <w:b/>
        </w:rPr>
      </w:pPr>
      <w:r>
        <w:rPr>
          <w:b/>
        </w:rPr>
        <w:t>Proper and timely gain control to avoid PA saturation</w:t>
      </w:r>
    </w:p>
    <w:p w14:paraId="618B016B" w14:textId="77777777" w:rsidR="000A2E63" w:rsidRDefault="000A2E63" w:rsidP="000A2E63">
      <w:pPr>
        <w:pStyle w:val="ListParagraph"/>
        <w:numPr>
          <w:ilvl w:val="0"/>
          <w:numId w:val="8"/>
        </w:numPr>
        <w:spacing w:line="256" w:lineRule="auto"/>
        <w:rPr>
          <w:b/>
        </w:rPr>
      </w:pPr>
      <w:r>
        <w:rPr>
          <w:b/>
        </w:rPr>
        <w:t>Proper power control when FDMing NCR-MT’s UL and NCR-Fwd’s forwarded signals</w:t>
      </w:r>
    </w:p>
    <w:p w14:paraId="2CC25A63" w14:textId="77777777" w:rsidR="000A2E63" w:rsidRDefault="000A2E63" w:rsidP="000A2E63">
      <w:pPr>
        <w:pStyle w:val="ListParagraph"/>
        <w:numPr>
          <w:ilvl w:val="0"/>
          <w:numId w:val="8"/>
        </w:numPr>
        <w:spacing w:line="256" w:lineRule="auto"/>
        <w:rPr>
          <w:b/>
        </w:rPr>
      </w:pPr>
      <w:r>
        <w:rPr>
          <w:b/>
        </w:rPr>
        <w:t>Power saving</w:t>
      </w:r>
    </w:p>
    <w:p w14:paraId="371263C1" w14:textId="77777777" w:rsidR="000A2E63" w:rsidRDefault="000A2E63" w:rsidP="000A2E63"/>
    <w:p w14:paraId="5789AA25" w14:textId="77777777" w:rsidR="000A2E63" w:rsidRDefault="000A2E63" w:rsidP="000A2E63">
      <w:r>
        <w:t xml:space="preserve">An autonomous power setting, i.e., following formula (1) and without side control from gNB, may have shortcoming and implications. In what follows, we discuss some of these concerns for two use-cases: (1) EPRE control, and (2) interference management.  </w:t>
      </w:r>
    </w:p>
    <w:p w14:paraId="57512EC6" w14:textId="77777777" w:rsidR="000A2E63" w:rsidRDefault="000A2E63" w:rsidP="000A2E63">
      <w:pPr>
        <w:rPr>
          <w:b/>
        </w:rPr>
      </w:pPr>
    </w:p>
    <w:p w14:paraId="607C39E5" w14:textId="77777777" w:rsidR="000A2E63" w:rsidRDefault="000A2E63" w:rsidP="000A2E63">
      <w:pPr>
        <w:rPr>
          <w:b/>
        </w:rPr>
      </w:pPr>
      <w:r>
        <w:rPr>
          <w:b/>
        </w:rPr>
        <w:t>(1) EPRE control</w:t>
      </w:r>
    </w:p>
    <w:p w14:paraId="18C5E979" w14:textId="77777777" w:rsidR="000A2E63" w:rsidRDefault="000A2E63" w:rsidP="000A2E63">
      <w:r>
        <w:t>The actual amplification gain in the TX power-limited region depends on the level of input power. Without proper considerations, the NCR may switch between gain-limited and TX power-limited regions and hence forward signals with different amplification gains.</w:t>
      </w:r>
    </w:p>
    <w:p w14:paraId="7B9A9448" w14:textId="77777777" w:rsidR="000A2E63" w:rsidRDefault="000A2E63" w:rsidP="000A2E63">
      <w:r>
        <w:t>For example, in DL, the total output TX power of gNB may increase with the occupied BW (e.g., assuming a uniform PSD). For larger RB allocations, the NCR may enter the TX power-limited region, where it needs to share a fixed (max) output power budget across all occupied RBs. This will lead to reduced effective EPRE (energy per RE) in DL. This may particularly be undesirable on DL symbols that carry DL-RS (such as SSBs, CSI-RS), because it may lead to a variable TX power of such DL-RSs forwarded by NCR.</w:t>
      </w:r>
    </w:p>
    <w:p w14:paraId="74377960" w14:textId="77777777" w:rsidR="000A2E63" w:rsidRDefault="000A2E63" w:rsidP="000A2E63"/>
    <w:p w14:paraId="0F385562" w14:textId="77777777" w:rsidR="000A2E63" w:rsidRDefault="000A2E63" w:rsidP="000A2E63">
      <w:pPr>
        <w:rPr>
          <w:b/>
          <w:u w:val="single"/>
        </w:rPr>
      </w:pPr>
      <w:r>
        <w:rPr>
          <w:b/>
          <w:u w:val="single"/>
        </w:rPr>
        <w:t xml:space="preserve">Observation </w:t>
      </w:r>
      <w:r w:rsidR="00B2481A">
        <w:rPr>
          <w:b/>
          <w:u w:val="single"/>
        </w:rPr>
        <w:t>6</w:t>
      </w:r>
    </w:p>
    <w:p w14:paraId="7F304DAA" w14:textId="77777777" w:rsidR="000A2E63" w:rsidRDefault="000A2E63" w:rsidP="000A2E63">
      <w:pPr>
        <w:rPr>
          <w:b/>
        </w:rPr>
      </w:pPr>
      <w:r>
        <w:rPr>
          <w:b/>
        </w:rPr>
        <w:t>In the TX power-limited region, the effective output power per RB reduces for larger RB allocations. This is particularly undesirable, when forwarding DL symbols that carry DL-RS (e.g., SSB or CSI-RS).</w:t>
      </w:r>
    </w:p>
    <w:p w14:paraId="7B207461" w14:textId="77777777" w:rsidR="000A2E63" w:rsidRDefault="000A2E63" w:rsidP="000A2E63">
      <w:pPr>
        <w:rPr>
          <w:b/>
        </w:rPr>
      </w:pPr>
    </w:p>
    <w:p w14:paraId="271DB6BC" w14:textId="77777777" w:rsidR="000A2E63" w:rsidRDefault="000A2E63" w:rsidP="000A2E63">
      <w:pPr>
        <w:rPr>
          <w:b/>
        </w:rPr>
      </w:pPr>
      <w:r>
        <w:rPr>
          <w:b/>
        </w:rPr>
        <w:t>(2) interference management</w:t>
      </w:r>
    </w:p>
    <w:p w14:paraId="39F809C3" w14:textId="77777777" w:rsidR="000A2E63" w:rsidRDefault="000A2E63" w:rsidP="000A2E63">
      <w:r>
        <w:t xml:space="preserve">One of the main use-cases of power control is for interference management (in both DL and UL). </w:t>
      </w:r>
    </w:p>
    <w:p w14:paraId="7B9B51E8" w14:textId="77777777" w:rsidR="000A2E63" w:rsidRDefault="000A2E63" w:rsidP="000A2E63">
      <w:pPr>
        <w:rPr>
          <w:b/>
        </w:rPr>
      </w:pPr>
      <w:r>
        <w:t xml:space="preserve">Let us consider UL for now! The legacy UL TX power control mechanisms (UL TPC) have been put in place to give the network the flexibility to adjust TX power of UEs in order to meet a desired level of RX power at the gNB.  </w:t>
      </w:r>
    </w:p>
    <w:p w14:paraId="10A229D8" w14:textId="77777777" w:rsidR="000A2E63" w:rsidRDefault="000A2E63" w:rsidP="000A2E63">
      <w:pPr>
        <w:keepNext/>
        <w:jc w:val="center"/>
      </w:pPr>
      <w:r>
        <w:rPr>
          <w:noProof/>
        </w:rPr>
        <w:drawing>
          <wp:inline distT="0" distB="0" distL="0" distR="0" wp14:anchorId="73409B03" wp14:editId="1087AC91">
            <wp:extent cx="2876550" cy="600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600075"/>
                    </a:xfrm>
                    <a:prstGeom prst="rect">
                      <a:avLst/>
                    </a:prstGeom>
                    <a:noFill/>
                    <a:ln>
                      <a:noFill/>
                    </a:ln>
                  </pic:spPr>
                </pic:pic>
              </a:graphicData>
            </a:graphic>
          </wp:inline>
        </w:drawing>
      </w:r>
    </w:p>
    <w:p w14:paraId="382C00FC" w14:textId="77777777" w:rsidR="000A2E63" w:rsidRDefault="000A2E63" w:rsidP="000A2E63">
      <w:pPr>
        <w:pStyle w:val="Caption"/>
        <w:jc w:val="center"/>
        <w:rPr>
          <w:b/>
        </w:rPr>
      </w:pPr>
      <w:bookmarkStart w:id="2" w:name="_Ref115262540"/>
      <w:r>
        <w:t xml:space="preserve">Figure </w:t>
      </w:r>
      <w:fldSimple w:instr=" SEQ Figure \* ARABIC ">
        <w:r>
          <w:rPr>
            <w:noProof/>
          </w:rPr>
          <w:t>3</w:t>
        </w:r>
      </w:fldSimple>
      <w:bookmarkEnd w:id="2"/>
    </w:p>
    <w:p w14:paraId="0B2EA243" w14:textId="77777777" w:rsidR="000A2E63" w:rsidRDefault="000A2E63" w:rsidP="000A2E63">
      <w:pPr>
        <w:rPr>
          <w:b/>
        </w:rPr>
      </w:pPr>
    </w:p>
    <w:p w14:paraId="1713883C" w14:textId="77777777" w:rsidR="000A2E63" w:rsidRDefault="000A2E63" w:rsidP="000A2E63">
      <w:r>
        <w:lastRenderedPageBreak/>
        <w:t>Now consider a case where UE’s signal is being forwarded by NCR (</w:t>
      </w:r>
      <w:r>
        <w:fldChar w:fldCharType="begin"/>
      </w:r>
      <w:r>
        <w:instrText xml:space="preserve"> REF _Ref115262540 \h </w:instrText>
      </w:r>
      <w:r>
        <w:fldChar w:fldCharType="separate"/>
      </w:r>
      <w:r>
        <w:t xml:space="preserve">Figure </w:t>
      </w:r>
      <w:r>
        <w:rPr>
          <w:noProof/>
        </w:rPr>
        <w:t>3</w:t>
      </w:r>
      <w:r>
        <w:fldChar w:fldCharType="end"/>
      </w:r>
      <w:r>
        <w:t xml:space="preserve">), and </w:t>
      </w:r>
      <w:proofErr w:type="spellStart"/>
      <w:r>
        <w:t>gNB</w:t>
      </w:r>
      <w:proofErr w:type="spellEnd"/>
      <w:r>
        <w:t xml:space="preserve"> likes to adjust its UL RX power. One may argue that this can be achieved by adjusting UE’s TX power using legacy TPC, and without any change to NCR’s power setting. However, there are two implications:</w:t>
      </w:r>
    </w:p>
    <w:p w14:paraId="635E197F" w14:textId="77777777" w:rsidR="000A2E63" w:rsidRDefault="000A2E63" w:rsidP="000A2E63"/>
    <w:p w14:paraId="2C0503B7" w14:textId="77777777" w:rsidR="000A2E63" w:rsidRDefault="000A2E63" w:rsidP="000A2E63">
      <w:pPr>
        <w:pStyle w:val="ListParagraph"/>
        <w:numPr>
          <w:ilvl w:val="0"/>
          <w:numId w:val="9"/>
        </w:numPr>
        <w:spacing w:line="256" w:lineRule="auto"/>
        <w:rPr>
          <w:u w:val="single"/>
        </w:rPr>
      </w:pPr>
      <w:r>
        <w:rPr>
          <w:u w:val="single"/>
        </w:rPr>
        <w:t>Much larger UE TX power reduction may be needed in the TX power-limited region</w:t>
      </w:r>
    </w:p>
    <w:p w14:paraId="576C5081" w14:textId="77777777" w:rsidR="000A2E63" w:rsidRDefault="000A2E63" w:rsidP="000A2E63">
      <w:r>
        <w:t>Assume the UL RX power at the gNB should be reduced by X dB. If the NCR operates in the gain-limited region, this can be achieved by X dB reduction of UE’s UL TX power. However, if the NCR is already in the TX power-limited region, UE’s UL TX power reduction will not change the NCR’s output power up to some point. Hence, a larger than X dB power reduction will be needed at the UE’s UL TX.</w:t>
      </w:r>
    </w:p>
    <w:p w14:paraId="71595A93" w14:textId="77777777" w:rsidR="000A2E63" w:rsidRDefault="000A2E63" w:rsidP="000A2E63"/>
    <w:p w14:paraId="0BF4A0F5" w14:textId="77777777" w:rsidR="000A2E63" w:rsidRDefault="000A2E63" w:rsidP="000A2E63">
      <w:pPr>
        <w:pStyle w:val="ListParagraph"/>
        <w:numPr>
          <w:ilvl w:val="0"/>
          <w:numId w:val="9"/>
        </w:numPr>
        <w:spacing w:line="256" w:lineRule="auto"/>
        <w:rPr>
          <w:u w:val="single"/>
        </w:rPr>
      </w:pPr>
      <w:r>
        <w:rPr>
          <w:u w:val="single"/>
        </w:rPr>
        <w:t>Reducing UE’s TX power leads to end-to-end performance degradation</w:t>
      </w:r>
    </w:p>
    <w:p w14:paraId="42CF8BAE" w14:textId="77777777" w:rsidR="000A2E63" w:rsidRDefault="000A2E63" w:rsidP="000A2E63">
      <w:r>
        <w:t xml:space="preserve">We note that E2E effective SNR of the UE </w:t>
      </w:r>
      <w:r>
        <w:rPr>
          <w:i/>
        </w:rPr>
        <w:t>roughly</w:t>
      </w:r>
      <w:r>
        <w:t xml:space="preserve"> follows the formula below:</w:t>
      </w:r>
    </w:p>
    <w:p w14:paraId="2F2E604A" w14:textId="77777777" w:rsidR="000A2E63" w:rsidRDefault="000A2E63" w:rsidP="000A2E63">
      <w:pPr>
        <w:jc w:val="center"/>
        <w:rPr>
          <w:b/>
        </w:rPr>
      </w:pPr>
      <m:oMath>
        <m:r>
          <m:rPr>
            <m:sty m:val="bi"/>
          </m:rPr>
          <w:rPr>
            <w:rFonts w:ascii="Cambria Math" w:hAnsi="Cambria Math"/>
          </w:rPr>
          <m:t>effSNR=</m:t>
        </m:r>
        <m:f>
          <m:fPr>
            <m:ctrlPr>
              <w:rPr>
                <w:rFonts w:ascii="Cambria Math" w:hAnsi="Cambria Math"/>
                <w:b/>
                <w:i/>
                <w:iCs/>
              </w:rPr>
            </m:ctrlPr>
          </m:fPr>
          <m:num>
            <m:r>
              <m:rPr>
                <m:sty m:val="bi"/>
              </m:rPr>
              <w:rPr>
                <w:rFonts w:ascii="Cambria Math" w:hAnsi="Cambria Math"/>
              </w:rPr>
              <m:t>1</m:t>
            </m:r>
          </m:num>
          <m:den>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BH</m:t>
                    </m:r>
                  </m:sub>
                </m:sSub>
              </m:den>
            </m:f>
            <m:r>
              <m:rPr>
                <m:sty m:val="bi"/>
              </m:rPr>
              <w:rPr>
                <w:rFonts w:ascii="Cambria Math" w:hAnsi="Cambria Math"/>
              </w:rPr>
              <m:t>+</m:t>
            </m:r>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AC</m:t>
                    </m:r>
                  </m:sub>
                </m:sSub>
              </m:den>
            </m:f>
          </m:den>
        </m:f>
      </m:oMath>
      <w:r>
        <w:rPr>
          <w:rFonts w:eastAsiaTheme="minorEastAsia"/>
          <w:b/>
          <w:iCs/>
        </w:rPr>
        <w:t xml:space="preserve">  </w:t>
      </w:r>
      <w:r>
        <w:rPr>
          <w:rFonts w:eastAsiaTheme="minorEastAsia"/>
          <w:b/>
          <w:iCs/>
        </w:rPr>
        <w:tab/>
        <w:t>(2)</w:t>
      </w:r>
    </w:p>
    <w:p w14:paraId="2130B4B3" w14:textId="77777777" w:rsidR="000A2E63" w:rsidRDefault="000A2E63" w:rsidP="000A2E63">
      <w:pPr>
        <w:rPr>
          <w:rFonts w:eastAsiaTheme="minorEastAsia"/>
          <w:iCs/>
        </w:rPr>
      </w:pPr>
      <w:r>
        <w:t>Also, in practice, we expect BH SNR (</w:t>
      </w:r>
      <m:oMath>
        <m:sSub>
          <m:sSubPr>
            <m:ctrlPr>
              <w:rPr>
                <w:rFonts w:ascii="Cambria Math" w:hAnsi="Cambria Math"/>
                <w:i/>
                <w:iCs/>
              </w:rPr>
            </m:ctrlPr>
          </m:sSubPr>
          <m:e>
            <m:r>
              <w:rPr>
                <w:rFonts w:ascii="Cambria Math" w:hAnsi="Cambria Math"/>
              </w:rPr>
              <m:t>SNR</m:t>
            </m:r>
          </m:e>
          <m:sub>
            <m:r>
              <w:rPr>
                <w:rFonts w:ascii="Cambria Math" w:hAnsi="Cambria Math"/>
              </w:rPr>
              <m:t>BH</m:t>
            </m:r>
          </m:sub>
        </m:sSub>
      </m:oMath>
      <w:r>
        <w:t>) to be typically much larger than the access SNR (</w:t>
      </w:r>
      <m:oMath>
        <m:sSub>
          <m:sSubPr>
            <m:ctrlPr>
              <w:rPr>
                <w:rFonts w:ascii="Cambria Math" w:hAnsi="Cambria Math"/>
                <w:i/>
                <w:iCs/>
              </w:rPr>
            </m:ctrlPr>
          </m:sSubPr>
          <m:e>
            <m:r>
              <w:rPr>
                <w:rFonts w:ascii="Cambria Math" w:hAnsi="Cambria Math"/>
              </w:rPr>
              <m:t>SNR</m:t>
            </m:r>
          </m:e>
          <m:sub>
            <m:r>
              <w:rPr>
                <w:rFonts w:ascii="Cambria Math" w:hAnsi="Cambria Math"/>
              </w:rPr>
              <m:t>AC</m:t>
            </m:r>
          </m:sub>
        </m:sSub>
      </m:oMath>
      <w:r>
        <w:t xml:space="preserve">)  -- </w:t>
      </w:r>
      <m:oMath>
        <m:r>
          <m:rPr>
            <m:sty m:val="bi"/>
          </m:rPr>
          <w:rPr>
            <w:rFonts w:ascii="Cambria Math" w:hAnsi="Cambria Math"/>
          </w:rPr>
          <m:t>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BH</m:t>
            </m:r>
          </m:sub>
        </m:sSub>
        <m:r>
          <m:rPr>
            <m:sty m:val="bi"/>
          </m:rPr>
          <w:rPr>
            <w:rFonts w:ascii="Cambria Math" w:hAnsi="Cambria Math"/>
          </w:rPr>
          <m:t>≫ 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Pr>
          <w:rFonts w:eastAsiaTheme="minorEastAsia"/>
          <w:b/>
          <w:iCs/>
        </w:rPr>
        <w:t xml:space="preserve"> </w:t>
      </w:r>
      <w:r>
        <w:t xml:space="preserve">– e.g., due to proper placement of the repeater and more favorable BH channel conditions, and larger antenna array size of NCR compared to UE. Therefore, in many cases, </w:t>
      </w:r>
      <m:oMath>
        <m:r>
          <m:rPr>
            <m:sty m:val="bi"/>
          </m:rPr>
          <w:rPr>
            <w:rFonts w:ascii="Cambria Math" w:hAnsi="Cambria Math"/>
          </w:rPr>
          <m:t>effSNR≈SN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Pr>
          <w:rFonts w:eastAsiaTheme="minorEastAsia"/>
          <w:iCs/>
        </w:rPr>
        <w:t>, and reducing UE’s UL TX power will proportionally reduce its access link SNR that will, in turn, lead to similar amount of reduction in the E2E SNR.</w:t>
      </w:r>
    </w:p>
    <w:p w14:paraId="64910B3F" w14:textId="77777777" w:rsidR="000A2E63" w:rsidRDefault="000A2E63" w:rsidP="000A2E63">
      <w:r>
        <w:rPr>
          <w:rFonts w:eastAsiaTheme="minorEastAsia"/>
          <w:iCs/>
        </w:rPr>
        <w:t xml:space="preserve">Alternatively, the UE’s UL TX power is unchanged, and NCR’s output power (or amplification gain) is reduced. In this case, access link SNR remains the same, and BH SNR is reduced, and such a reduction, in many cases, may not result in noticeable change in the E2E SNR. </w:t>
      </w:r>
    </w:p>
    <w:p w14:paraId="2B695005" w14:textId="77777777" w:rsidR="000A2E63" w:rsidRDefault="000A2E63" w:rsidP="000A2E63"/>
    <w:p w14:paraId="022FAB62" w14:textId="77777777" w:rsidR="000A2E63" w:rsidRDefault="000A2E63" w:rsidP="000A2E63">
      <w:r>
        <w:t xml:space="preserve">The above implications are further demonstrated below.  </w:t>
      </w:r>
      <w:r>
        <w:fldChar w:fldCharType="begin"/>
      </w:r>
      <w:r>
        <w:instrText xml:space="preserve"> REF _Ref115290698 \h  \* MERGEFORMAT </w:instrText>
      </w:r>
      <w:r>
        <w:fldChar w:fldCharType="separate"/>
      </w:r>
      <w:r>
        <w:t xml:space="preserve">Figure </w:t>
      </w:r>
      <w:r>
        <w:rPr>
          <w:noProof/>
        </w:rPr>
        <w:t>4</w:t>
      </w:r>
      <w:r>
        <w:fldChar w:fldCharType="end"/>
      </w:r>
      <w:r>
        <w:t xml:space="preserve"> shows the NCR’s output power (EIRP), BH SNR, access SNR, and effective E2E SNR as a function of UL RX power at NCR’s input. Evaluation assumptions are as follows: </w:t>
      </w:r>
      <m:oMath>
        <m:sSub>
          <m:sSubPr>
            <m:ctrlPr>
              <w:rPr>
                <w:rFonts w:ascii="Cambria Math" w:eastAsiaTheme="minorEastAsia" w:hAnsi="Cambria Math"/>
                <w:bCs/>
                <w:i/>
                <w:iCs/>
                <w:color w:val="000000"/>
                <w:kern w:val="24"/>
              </w:rPr>
            </m:ctrlPr>
          </m:sSubPr>
          <m:e>
            <m:r>
              <w:rPr>
                <w:rFonts w:ascii="Cambria Math" w:eastAsiaTheme="minorEastAsia" w:hAnsi="Cambria Math"/>
                <w:color w:val="000000"/>
                <w:kern w:val="24"/>
              </w:rPr>
              <m:t>G</m:t>
            </m:r>
          </m:e>
          <m:sub>
            <m:r>
              <w:rPr>
                <w:rFonts w:ascii="Cambria Math" w:eastAsiaTheme="minorEastAsia" w:hAnsi="Cambria Math"/>
                <w:color w:val="000000"/>
                <w:kern w:val="24"/>
              </w:rPr>
              <m:t>max</m:t>
            </m:r>
          </m:sub>
        </m:sSub>
        <m:r>
          <w:rPr>
            <w:rFonts w:ascii="Cambria Math" w:eastAsiaTheme="minorEastAsia" w:hAnsi="Cambria Math"/>
            <w:color w:val="000000"/>
            <w:kern w:val="24"/>
          </w:rPr>
          <m:t>=90dB</m:t>
        </m:r>
      </m:oMath>
      <w:r>
        <w:rPr>
          <w:rFonts w:eastAsiaTheme="minorEastAsia"/>
          <w:bCs/>
          <w:iCs/>
          <w:color w:val="000000"/>
          <w:kern w:val="24"/>
        </w:rPr>
        <w:t xml:space="preserve">, </w:t>
      </w:r>
      <m:oMath>
        <m:sSubSup>
          <m:sSubSupPr>
            <m:ctrlPr>
              <w:rPr>
                <w:rFonts w:ascii="Cambria Math" w:eastAsiaTheme="minorEastAsia" w:hAnsi="Cambria Math"/>
                <w:bCs/>
                <w:i/>
                <w:iCs/>
                <w:color w:val="000000"/>
                <w:kern w:val="24"/>
              </w:rPr>
            </m:ctrlPr>
          </m:sSubSupPr>
          <m:e>
            <m:r>
              <w:rPr>
                <w:rFonts w:ascii="Cambria Math" w:eastAsiaTheme="minorEastAsia" w:hAnsi="Cambria Math"/>
                <w:color w:val="000000"/>
                <w:kern w:val="24"/>
              </w:rPr>
              <m:t>P</m:t>
            </m:r>
          </m:e>
          <m:sub>
            <m:r>
              <w:rPr>
                <w:rFonts w:ascii="Cambria Math" w:eastAsiaTheme="minorEastAsia" w:hAnsi="Cambria Math"/>
                <w:color w:val="000000"/>
                <w:kern w:val="24"/>
              </w:rPr>
              <m:t>TXmax</m:t>
            </m:r>
          </m:sub>
          <m:sup>
            <m:r>
              <w:rPr>
                <w:rFonts w:ascii="Cambria Math" w:eastAsiaTheme="minorEastAsia" w:hAnsi="Cambria Math"/>
                <w:color w:val="000000"/>
                <w:kern w:val="24"/>
              </w:rPr>
              <m:t>NCR</m:t>
            </m:r>
          </m:sup>
        </m:sSubSup>
        <m:r>
          <w:rPr>
            <w:rFonts w:ascii="Cambria Math" w:eastAsiaTheme="minorEastAsia" w:hAnsi="Cambria Math"/>
            <w:color w:val="000000"/>
            <w:kern w:val="24"/>
          </w:rPr>
          <m:t>(TRP)=22dBm</m:t>
        </m:r>
      </m:oMath>
      <w:r>
        <w:rPr>
          <w:rFonts w:eastAsiaTheme="minorEastAsia"/>
          <w:bCs/>
          <w:iCs/>
          <w:color w:val="000000"/>
          <w:kern w:val="24"/>
        </w:rPr>
        <w:t xml:space="preserve">, </w:t>
      </w:r>
      <w:r>
        <w:rPr>
          <w:rFonts w:eastAsiaTheme="minorEastAsia"/>
          <w:bCs/>
          <w:i/>
          <w:iCs/>
          <w:color w:val="000000"/>
          <w:kern w:val="24"/>
        </w:rPr>
        <w:t>NCR-Fwd’s beamforming gain</w:t>
      </w:r>
      <w:r>
        <w:rPr>
          <w:rFonts w:eastAsiaTheme="minorEastAsia"/>
          <w:bCs/>
          <w:iCs/>
          <w:color w:val="000000"/>
          <w:kern w:val="24"/>
        </w:rPr>
        <w:t>=</w:t>
      </w:r>
      <w:r>
        <w:rPr>
          <w:rFonts w:eastAsiaTheme="minorEastAsia"/>
          <w:bCs/>
          <w:i/>
          <w:iCs/>
          <w:color w:val="000000"/>
          <w:kern w:val="24"/>
        </w:rPr>
        <w:t xml:space="preserve">19dBm, BH Pathloss = 100 dB, BW=100 MHz, noise figure = 5.5 dB. </w:t>
      </w:r>
    </w:p>
    <w:p w14:paraId="79CE80BA" w14:textId="77777777" w:rsidR="000A2E63" w:rsidRDefault="000A2E63" w:rsidP="000A2E63"/>
    <w:p w14:paraId="022D4D46" w14:textId="77777777" w:rsidR="000A2E63" w:rsidRDefault="000A2E63" w:rsidP="000A2E63">
      <w:pPr>
        <w:keepNext/>
        <w:jc w:val="center"/>
      </w:pPr>
      <w:r>
        <w:rPr>
          <w:noProof/>
        </w:rPr>
        <w:lastRenderedPageBreak/>
        <w:drawing>
          <wp:inline distT="0" distB="0" distL="0" distR="0" wp14:anchorId="3FF3EE7F" wp14:editId="0C116458">
            <wp:extent cx="2809875" cy="176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9875" cy="1762125"/>
                    </a:xfrm>
                    <a:prstGeom prst="rect">
                      <a:avLst/>
                    </a:prstGeom>
                    <a:noFill/>
                    <a:ln>
                      <a:noFill/>
                    </a:ln>
                  </pic:spPr>
                </pic:pic>
              </a:graphicData>
            </a:graphic>
          </wp:inline>
        </w:drawing>
      </w:r>
      <w:r>
        <w:t xml:space="preserve">         </w:t>
      </w:r>
      <w:r>
        <w:rPr>
          <w:noProof/>
        </w:rPr>
        <w:drawing>
          <wp:inline distT="0" distB="0" distL="0" distR="0" wp14:anchorId="12432E28" wp14:editId="364E7220">
            <wp:extent cx="2724150" cy="1704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4150" cy="1704975"/>
                    </a:xfrm>
                    <a:prstGeom prst="rect">
                      <a:avLst/>
                    </a:prstGeom>
                    <a:noFill/>
                    <a:ln>
                      <a:noFill/>
                    </a:ln>
                  </pic:spPr>
                </pic:pic>
              </a:graphicData>
            </a:graphic>
          </wp:inline>
        </w:drawing>
      </w:r>
    </w:p>
    <w:p w14:paraId="1EFA17A0" w14:textId="77777777" w:rsidR="000A2E63" w:rsidRDefault="000A2E63" w:rsidP="000A2E63">
      <w:pPr>
        <w:keepNext/>
        <w:jc w:val="center"/>
      </w:pPr>
      <w:r>
        <w:t xml:space="preserve">(a) </w:t>
      </w:r>
      <w:r>
        <w:tab/>
      </w:r>
      <w:r>
        <w:tab/>
      </w:r>
      <w:r>
        <w:tab/>
      </w:r>
      <w:r>
        <w:tab/>
      </w:r>
      <w:r>
        <w:tab/>
      </w:r>
      <w:r>
        <w:tab/>
      </w:r>
      <w:r>
        <w:tab/>
        <w:t>(b)</w:t>
      </w:r>
    </w:p>
    <w:p w14:paraId="7B691A82" w14:textId="77777777" w:rsidR="000A2E63" w:rsidRDefault="000A2E63" w:rsidP="000A2E63">
      <w:pPr>
        <w:pStyle w:val="Caption"/>
        <w:jc w:val="center"/>
      </w:pPr>
      <w:bookmarkStart w:id="3" w:name="_Ref115290698"/>
      <w:r>
        <w:t xml:space="preserve">Figure </w:t>
      </w:r>
      <w:fldSimple w:instr=" SEQ Figure \* ARABIC ">
        <w:r>
          <w:rPr>
            <w:noProof/>
          </w:rPr>
          <w:t>4</w:t>
        </w:r>
      </w:fldSimple>
      <w:bookmarkEnd w:id="3"/>
      <w:r>
        <w:t>: relationship between NCR’s RX power and NCR’s RX power and access/BH/E2E SNR. Figure (b) further shows the impact of reducing NCR’s max output power on the E2E SNR.</w:t>
      </w:r>
    </w:p>
    <w:p w14:paraId="0A2AE5B7" w14:textId="77777777" w:rsidR="000A2E63" w:rsidRDefault="000A2E63" w:rsidP="000A2E63"/>
    <w:p w14:paraId="2ABB53F4" w14:textId="77777777" w:rsidR="000A2E63" w:rsidRDefault="000A2E63" w:rsidP="000A2E63">
      <w:r>
        <w:t>Assume for an upcoming UL slot, the NCR’s output power should be &lt;= 36 dBm. This can be done via</w:t>
      </w:r>
    </w:p>
    <w:p w14:paraId="6F909380" w14:textId="77777777" w:rsidR="000A2E63" w:rsidRDefault="000A2E63" w:rsidP="000A2E63">
      <w:pPr>
        <w:pStyle w:val="ListParagraph"/>
        <w:numPr>
          <w:ilvl w:val="0"/>
          <w:numId w:val="10"/>
        </w:numPr>
        <w:spacing w:line="256" w:lineRule="auto"/>
      </w:pPr>
      <w:r>
        <w:t>Alt 1. Reducing the UL TX power of UE</w:t>
      </w:r>
    </w:p>
    <w:p w14:paraId="187789DE" w14:textId="77777777" w:rsidR="000A2E63" w:rsidRDefault="000A2E63" w:rsidP="000A2E63">
      <w:pPr>
        <w:pStyle w:val="ListParagraph"/>
        <w:numPr>
          <w:ilvl w:val="0"/>
          <w:numId w:val="10"/>
        </w:numPr>
        <w:spacing w:line="256" w:lineRule="auto"/>
      </w:pPr>
      <w:r>
        <w:t>Alt 2. Reducing the output TX power of NCR (without changing UE’s TX power)</w:t>
      </w:r>
    </w:p>
    <w:p w14:paraId="3CF0C092" w14:textId="77777777" w:rsidR="000A2E63" w:rsidRDefault="000A2E63" w:rsidP="000A2E63">
      <w:r>
        <w:t>We also consider two examples:</w:t>
      </w:r>
    </w:p>
    <w:p w14:paraId="7B188058" w14:textId="77777777" w:rsidR="000A2E63" w:rsidRDefault="000A2E63" w:rsidP="000A2E63">
      <w:pPr>
        <w:pStyle w:val="ListParagraph"/>
        <w:numPr>
          <w:ilvl w:val="0"/>
          <w:numId w:val="11"/>
        </w:numPr>
        <w:spacing w:line="256" w:lineRule="auto"/>
      </w:pPr>
      <w:r>
        <w:t>Example 1.  NCR’s original UL RX power is -60 dBm (shown by the blue dot).</w:t>
      </w:r>
    </w:p>
    <w:p w14:paraId="7600B1F7" w14:textId="77777777" w:rsidR="000A2E63" w:rsidRDefault="000A2E63" w:rsidP="000A2E63">
      <w:pPr>
        <w:pStyle w:val="ListParagraph"/>
        <w:numPr>
          <w:ilvl w:val="0"/>
          <w:numId w:val="11"/>
        </w:numPr>
        <w:spacing w:line="256" w:lineRule="auto"/>
      </w:pPr>
      <w:r>
        <w:t>Example 2. NCR’s original UL RX power is – 68 dBm (shown by the green dot).</w:t>
      </w:r>
    </w:p>
    <w:p w14:paraId="13B856A1" w14:textId="77777777" w:rsidR="000A2E63" w:rsidRDefault="000A2E63" w:rsidP="000A2E63"/>
    <w:p w14:paraId="21E028BF" w14:textId="77777777" w:rsidR="000A2E63" w:rsidRDefault="000A2E63" w:rsidP="000A2E63">
      <w:r>
        <w:t>Following Alt 1 (</w:t>
      </w:r>
      <w:r>
        <w:fldChar w:fldCharType="begin"/>
      </w:r>
      <w:r>
        <w:instrText xml:space="preserve"> REF _Ref115290698 \h </w:instrText>
      </w:r>
      <w:r>
        <w:fldChar w:fldCharType="separate"/>
      </w:r>
      <w:r>
        <w:t xml:space="preserve">Figure </w:t>
      </w:r>
      <w:r>
        <w:rPr>
          <w:noProof/>
        </w:rPr>
        <w:t>4</w:t>
      </w:r>
      <w:r>
        <w:fldChar w:fldCharType="end"/>
      </w:r>
      <w:r>
        <w:t xml:space="preserve"> (a)), and in order to meet 36 dBm target output power of NCR, the NCR’s input power should be reduced to -73 dBm, which corresponds to an E2E SNR of 15 dB. This, in turn, leads to:</w:t>
      </w:r>
    </w:p>
    <w:p w14:paraId="2F87DB17" w14:textId="77777777" w:rsidR="000A2E63" w:rsidRDefault="000A2E63" w:rsidP="000A2E63">
      <w:pPr>
        <w:pStyle w:val="ListParagraph"/>
        <w:numPr>
          <w:ilvl w:val="0"/>
          <w:numId w:val="8"/>
        </w:numPr>
        <w:spacing w:line="256" w:lineRule="auto"/>
      </w:pPr>
      <w:r>
        <w:t>11 dB E2E SNR reduction for Example 1</w:t>
      </w:r>
    </w:p>
    <w:p w14:paraId="09ECC193" w14:textId="77777777" w:rsidR="000A2E63" w:rsidRDefault="000A2E63" w:rsidP="000A2E63">
      <w:pPr>
        <w:pStyle w:val="ListParagraph"/>
        <w:numPr>
          <w:ilvl w:val="0"/>
          <w:numId w:val="8"/>
        </w:numPr>
        <w:spacing w:line="256" w:lineRule="auto"/>
      </w:pPr>
      <w:r>
        <w:t>5 dB E2E SNR reduction for Example 2</w:t>
      </w:r>
    </w:p>
    <w:p w14:paraId="5ACACB10" w14:textId="77777777" w:rsidR="000A2E63" w:rsidRDefault="000A2E63" w:rsidP="000A2E63">
      <w:r>
        <w:t>Following Alt 2 (</w:t>
      </w:r>
      <w:r>
        <w:fldChar w:fldCharType="begin"/>
      </w:r>
      <w:r>
        <w:instrText xml:space="preserve"> REF _Ref115290698 \h </w:instrText>
      </w:r>
      <w:r>
        <w:fldChar w:fldCharType="separate"/>
      </w:r>
      <w:r>
        <w:t xml:space="preserve">Figure </w:t>
      </w:r>
      <w:r>
        <w:rPr>
          <w:noProof/>
        </w:rPr>
        <w:t>4</w:t>
      </w:r>
      <w:r>
        <w:fldChar w:fldCharType="end"/>
      </w:r>
      <w:r>
        <w:t xml:space="preserve"> (b)), the max output power of NCR may be reduced to 36 dBm (i.e., 5 dB reduction from its original max output power of 41 dBm). Such a reduction of NCR’s output power, without changing UE’s UL TX power, leads to </w:t>
      </w:r>
    </w:p>
    <w:p w14:paraId="30DD1A87" w14:textId="77777777" w:rsidR="000A2E63" w:rsidRDefault="000A2E63" w:rsidP="000A2E63">
      <w:pPr>
        <w:pStyle w:val="ListParagraph"/>
        <w:numPr>
          <w:ilvl w:val="0"/>
          <w:numId w:val="8"/>
        </w:numPr>
        <w:spacing w:line="256" w:lineRule="auto"/>
      </w:pPr>
      <w:r>
        <w:t>3 dB E2E SNR reduction for Example 1</w:t>
      </w:r>
    </w:p>
    <w:p w14:paraId="2D4F6E3B" w14:textId="77777777" w:rsidR="000A2E63" w:rsidRDefault="000A2E63" w:rsidP="000A2E63">
      <w:pPr>
        <w:pStyle w:val="ListParagraph"/>
        <w:numPr>
          <w:ilvl w:val="0"/>
          <w:numId w:val="8"/>
        </w:numPr>
        <w:spacing w:line="256" w:lineRule="auto"/>
      </w:pPr>
      <w:r>
        <w:t>&lt;0.5 dB E2E SNR reduction for Example 2</w:t>
      </w:r>
    </w:p>
    <w:p w14:paraId="5B44A852" w14:textId="77777777" w:rsidR="000A2E63" w:rsidRDefault="000A2E63" w:rsidP="000A2E63"/>
    <w:p w14:paraId="73FA384A" w14:textId="77777777" w:rsidR="000A2E63" w:rsidRDefault="000A2E63" w:rsidP="000A2E63">
      <w:r>
        <w:fldChar w:fldCharType="begin"/>
      </w:r>
      <w:r>
        <w:instrText xml:space="preserve"> REF _Ref115291743 \h </w:instrText>
      </w:r>
      <w:r>
        <w:fldChar w:fldCharType="separate"/>
      </w:r>
      <w:r>
        <w:t xml:space="preserve">Table </w:t>
      </w:r>
      <w:r>
        <w:rPr>
          <w:noProof/>
        </w:rPr>
        <w:t>1</w:t>
      </w:r>
      <w:r>
        <w:fldChar w:fldCharType="end"/>
      </w:r>
      <w:r>
        <w:t xml:space="preserve"> summarizes these observations.</w:t>
      </w:r>
    </w:p>
    <w:p w14:paraId="614E5B4D" w14:textId="77777777" w:rsidR="000A2E63" w:rsidRDefault="000A2E63" w:rsidP="000A2E63">
      <w:pPr>
        <w:pStyle w:val="Caption"/>
        <w:keepNext/>
        <w:jc w:val="center"/>
      </w:pPr>
      <w:bookmarkStart w:id="4" w:name="_Ref115291743"/>
      <w:r>
        <w:t xml:space="preserve">Table </w:t>
      </w:r>
      <w:fldSimple w:instr=" SEQ Table \* ARABIC ">
        <w:r>
          <w:rPr>
            <w:noProof/>
          </w:rPr>
          <w:t>1</w:t>
        </w:r>
      </w:fldSimple>
      <w:bookmarkEnd w:id="4"/>
      <w:r>
        <w:t>: impact on E2E SNR, while meeting a target NCR's output TX power (36 dBm)</w:t>
      </w:r>
    </w:p>
    <w:tbl>
      <w:tblPr>
        <w:tblStyle w:val="TableGrid"/>
        <w:tblW w:w="0" w:type="auto"/>
        <w:tblLook w:val="04A0" w:firstRow="1" w:lastRow="0" w:firstColumn="1" w:lastColumn="0" w:noHBand="0" w:noVBand="1"/>
      </w:tblPr>
      <w:tblGrid>
        <w:gridCol w:w="2756"/>
        <w:gridCol w:w="3358"/>
        <w:gridCol w:w="3117"/>
      </w:tblGrid>
      <w:tr w:rsidR="000A2E63" w14:paraId="4B3D1072" w14:textId="77777777" w:rsidTr="00677E46">
        <w:tc>
          <w:tcPr>
            <w:tcW w:w="2756" w:type="dxa"/>
            <w:tcBorders>
              <w:top w:val="single" w:sz="4" w:space="0" w:color="auto"/>
              <w:left w:val="single" w:sz="4" w:space="0" w:color="auto"/>
              <w:bottom w:val="single" w:sz="4" w:space="0" w:color="auto"/>
              <w:right w:val="single" w:sz="4" w:space="0" w:color="auto"/>
            </w:tcBorders>
            <w:hideMark/>
          </w:tcPr>
          <w:p w14:paraId="161192E2" w14:textId="77777777" w:rsidR="000A2E63" w:rsidRDefault="000A2E63" w:rsidP="00677E46">
            <w:r>
              <w:t>NCR’s original RX UL power</w:t>
            </w:r>
          </w:p>
        </w:tc>
        <w:tc>
          <w:tcPr>
            <w:tcW w:w="3358" w:type="dxa"/>
            <w:tcBorders>
              <w:top w:val="single" w:sz="4" w:space="0" w:color="auto"/>
              <w:left w:val="single" w:sz="4" w:space="0" w:color="auto"/>
              <w:bottom w:val="single" w:sz="4" w:space="0" w:color="auto"/>
              <w:right w:val="single" w:sz="4" w:space="0" w:color="auto"/>
            </w:tcBorders>
            <w:hideMark/>
          </w:tcPr>
          <w:p w14:paraId="3B3CAFE2" w14:textId="77777777" w:rsidR="000A2E63" w:rsidRDefault="000A2E63" w:rsidP="00677E46">
            <w:r>
              <w:t>Alt1. Reducing UE’s UL TX power</w:t>
            </w:r>
          </w:p>
        </w:tc>
        <w:tc>
          <w:tcPr>
            <w:tcW w:w="3117" w:type="dxa"/>
            <w:tcBorders>
              <w:top w:val="single" w:sz="4" w:space="0" w:color="auto"/>
              <w:left w:val="single" w:sz="4" w:space="0" w:color="auto"/>
              <w:bottom w:val="single" w:sz="4" w:space="0" w:color="auto"/>
              <w:right w:val="single" w:sz="4" w:space="0" w:color="auto"/>
            </w:tcBorders>
            <w:hideMark/>
          </w:tcPr>
          <w:p w14:paraId="22344B64" w14:textId="77777777" w:rsidR="000A2E63" w:rsidRDefault="000A2E63" w:rsidP="00677E46">
            <w:r>
              <w:t>Alt2. Reducing NCR’s output power (by 5 dB) w/o changing UE’s TX power</w:t>
            </w:r>
          </w:p>
        </w:tc>
      </w:tr>
      <w:tr w:rsidR="000A2E63" w14:paraId="3B6D70A8" w14:textId="77777777" w:rsidTr="00677E46">
        <w:tc>
          <w:tcPr>
            <w:tcW w:w="2756" w:type="dxa"/>
            <w:tcBorders>
              <w:top w:val="single" w:sz="4" w:space="0" w:color="auto"/>
              <w:left w:val="single" w:sz="4" w:space="0" w:color="auto"/>
              <w:bottom w:val="single" w:sz="4" w:space="0" w:color="auto"/>
              <w:right w:val="single" w:sz="4" w:space="0" w:color="auto"/>
            </w:tcBorders>
            <w:hideMark/>
          </w:tcPr>
          <w:p w14:paraId="00ACCC72" w14:textId="77777777" w:rsidR="000A2E63" w:rsidRDefault="000A2E63" w:rsidP="00677E46">
            <w:r>
              <w:lastRenderedPageBreak/>
              <w:t xml:space="preserve">Example 1: -60 dBm </w:t>
            </w:r>
          </w:p>
        </w:tc>
        <w:tc>
          <w:tcPr>
            <w:tcW w:w="3358" w:type="dxa"/>
            <w:tcBorders>
              <w:top w:val="single" w:sz="4" w:space="0" w:color="auto"/>
              <w:left w:val="single" w:sz="4" w:space="0" w:color="auto"/>
              <w:bottom w:val="single" w:sz="4" w:space="0" w:color="auto"/>
              <w:right w:val="single" w:sz="4" w:space="0" w:color="auto"/>
            </w:tcBorders>
            <w:hideMark/>
          </w:tcPr>
          <w:p w14:paraId="002BDB87" w14:textId="77777777" w:rsidR="000A2E63" w:rsidRDefault="000A2E63" w:rsidP="00677E46">
            <w:r>
              <w:t>UE’s TX power reduction = 13 dB</w:t>
            </w:r>
          </w:p>
          <w:p w14:paraId="2D9180AB" w14:textId="77777777" w:rsidR="000A2E63" w:rsidRDefault="000A2E63" w:rsidP="00677E46">
            <w:r>
              <w:t>E2E SNR reduction = 11 dB</w:t>
            </w:r>
          </w:p>
        </w:tc>
        <w:tc>
          <w:tcPr>
            <w:tcW w:w="3117" w:type="dxa"/>
            <w:tcBorders>
              <w:top w:val="single" w:sz="4" w:space="0" w:color="auto"/>
              <w:left w:val="single" w:sz="4" w:space="0" w:color="auto"/>
              <w:bottom w:val="single" w:sz="4" w:space="0" w:color="auto"/>
              <w:right w:val="single" w:sz="4" w:space="0" w:color="auto"/>
            </w:tcBorders>
            <w:hideMark/>
          </w:tcPr>
          <w:p w14:paraId="4201EF0E" w14:textId="77777777" w:rsidR="000A2E63" w:rsidRDefault="000A2E63" w:rsidP="00677E46">
            <w:r>
              <w:t>UE’s TX power reduction = 0 dB</w:t>
            </w:r>
          </w:p>
          <w:p w14:paraId="5F3CD2BC" w14:textId="77777777" w:rsidR="000A2E63" w:rsidRDefault="000A2E63" w:rsidP="00677E46">
            <w:r>
              <w:t>E2E SNR reduction = 3 dB</w:t>
            </w:r>
          </w:p>
        </w:tc>
      </w:tr>
      <w:tr w:rsidR="000A2E63" w14:paraId="7D455EE6" w14:textId="77777777" w:rsidTr="00677E46">
        <w:tc>
          <w:tcPr>
            <w:tcW w:w="2756" w:type="dxa"/>
            <w:tcBorders>
              <w:top w:val="single" w:sz="4" w:space="0" w:color="auto"/>
              <w:left w:val="single" w:sz="4" w:space="0" w:color="auto"/>
              <w:bottom w:val="single" w:sz="4" w:space="0" w:color="auto"/>
              <w:right w:val="single" w:sz="4" w:space="0" w:color="auto"/>
            </w:tcBorders>
            <w:hideMark/>
          </w:tcPr>
          <w:p w14:paraId="7087A842" w14:textId="77777777" w:rsidR="000A2E63" w:rsidRDefault="000A2E63" w:rsidP="00677E46">
            <w:r>
              <w:t>Example 2: -68 dBm</w:t>
            </w:r>
          </w:p>
        </w:tc>
        <w:tc>
          <w:tcPr>
            <w:tcW w:w="3358" w:type="dxa"/>
            <w:tcBorders>
              <w:top w:val="single" w:sz="4" w:space="0" w:color="auto"/>
              <w:left w:val="single" w:sz="4" w:space="0" w:color="auto"/>
              <w:bottom w:val="single" w:sz="4" w:space="0" w:color="auto"/>
              <w:right w:val="single" w:sz="4" w:space="0" w:color="auto"/>
            </w:tcBorders>
            <w:hideMark/>
          </w:tcPr>
          <w:p w14:paraId="1F4ED3E8" w14:textId="77777777" w:rsidR="000A2E63" w:rsidRDefault="000A2E63" w:rsidP="00677E46">
            <w:r>
              <w:t>UE’s TX power reduction = 5 dB</w:t>
            </w:r>
          </w:p>
          <w:p w14:paraId="2E241C5C" w14:textId="77777777" w:rsidR="000A2E63" w:rsidRDefault="000A2E63" w:rsidP="00677E46">
            <w:r>
              <w:t>E2E SNR reduction = 5 dB</w:t>
            </w:r>
          </w:p>
        </w:tc>
        <w:tc>
          <w:tcPr>
            <w:tcW w:w="3117" w:type="dxa"/>
            <w:tcBorders>
              <w:top w:val="single" w:sz="4" w:space="0" w:color="auto"/>
              <w:left w:val="single" w:sz="4" w:space="0" w:color="auto"/>
              <w:bottom w:val="single" w:sz="4" w:space="0" w:color="auto"/>
              <w:right w:val="single" w:sz="4" w:space="0" w:color="auto"/>
            </w:tcBorders>
            <w:hideMark/>
          </w:tcPr>
          <w:p w14:paraId="3A60CE4A" w14:textId="77777777" w:rsidR="000A2E63" w:rsidRDefault="000A2E63" w:rsidP="00677E46">
            <w:r>
              <w:t>UE’s TX power reduction = 0 dB</w:t>
            </w:r>
          </w:p>
          <w:p w14:paraId="2ED6B0B2" w14:textId="77777777" w:rsidR="000A2E63" w:rsidRDefault="000A2E63" w:rsidP="00677E46">
            <w:r>
              <w:t>E2E SNR reduction &lt; 0.5 dB</w:t>
            </w:r>
          </w:p>
        </w:tc>
      </w:tr>
    </w:tbl>
    <w:p w14:paraId="69568D45" w14:textId="77777777" w:rsidR="000A2E63" w:rsidRDefault="000A2E63" w:rsidP="000A2E63"/>
    <w:p w14:paraId="387689AD" w14:textId="77777777" w:rsidR="000A2E63" w:rsidRDefault="000A2E63" w:rsidP="000A2E63">
      <w:pPr>
        <w:rPr>
          <w:b/>
          <w:u w:val="single"/>
        </w:rPr>
      </w:pPr>
      <w:r>
        <w:rPr>
          <w:b/>
          <w:u w:val="single"/>
        </w:rPr>
        <w:t xml:space="preserve">Observation </w:t>
      </w:r>
      <w:r w:rsidR="00B2481A">
        <w:rPr>
          <w:b/>
          <w:u w:val="single"/>
        </w:rPr>
        <w:t>7</w:t>
      </w:r>
    </w:p>
    <w:p w14:paraId="368C841F" w14:textId="77777777" w:rsidR="000A2E63" w:rsidRDefault="000A2E63" w:rsidP="000A2E63">
      <w:pPr>
        <w:rPr>
          <w:b/>
        </w:rPr>
      </w:pPr>
      <w:r>
        <w:rPr>
          <w:b/>
        </w:rPr>
        <w:t>For UL power control and to achieve a desired adjustment in UL RX power at the gNB, changing UE’s UL TX power can lead to a significant degradation of UE’s end-to-end SNR and throughput.</w:t>
      </w:r>
    </w:p>
    <w:p w14:paraId="47B55DAC" w14:textId="77777777" w:rsidR="000A2E63" w:rsidRDefault="000A2E63" w:rsidP="000A2E63">
      <w:pPr>
        <w:rPr>
          <w:b/>
        </w:rPr>
      </w:pPr>
      <w:r>
        <w:rPr>
          <w:b/>
        </w:rPr>
        <w:t xml:space="preserve">Alternatively, changing NCR’s output power and maintaining UE’s UL TX power can achieve the desired adjustment at much lower impact on the end-to-end SNR. </w:t>
      </w:r>
    </w:p>
    <w:p w14:paraId="13D7631B" w14:textId="77777777" w:rsidR="000A2E63" w:rsidRDefault="000A2E63" w:rsidP="000A2E63"/>
    <w:p w14:paraId="4901D18F" w14:textId="77777777" w:rsidR="000A2E63" w:rsidRDefault="000A2E63" w:rsidP="000A2E63">
      <w:pPr>
        <w:rPr>
          <w:b/>
          <w:u w:val="single"/>
        </w:rPr>
      </w:pPr>
      <w:r>
        <w:rPr>
          <w:b/>
          <w:u w:val="single"/>
        </w:rPr>
        <w:t xml:space="preserve">Proposal </w:t>
      </w:r>
      <w:r w:rsidR="00B2481A">
        <w:rPr>
          <w:b/>
          <w:u w:val="single"/>
        </w:rPr>
        <w:t>5</w:t>
      </w:r>
    </w:p>
    <w:p w14:paraId="65D1311D" w14:textId="77777777" w:rsidR="000A2E63" w:rsidRDefault="000A2E63" w:rsidP="000A2E63">
      <w:pPr>
        <w:rPr>
          <w:b/>
          <w:lang w:val="en-GB"/>
        </w:rPr>
      </w:pPr>
      <w:r>
        <w:rPr>
          <w:b/>
        </w:rPr>
        <w:t xml:space="preserve">Support NCR’s power control via side control information indication. </w:t>
      </w:r>
    </w:p>
    <w:p w14:paraId="25562165" w14:textId="77777777" w:rsidR="000A2E63" w:rsidRDefault="000A2E63" w:rsidP="000A2E63"/>
    <w:p w14:paraId="744BDCD4" w14:textId="77777777" w:rsidR="000A2E63" w:rsidRDefault="000A2E63" w:rsidP="000A2E63">
      <w:r>
        <w:t>It also remains to discuss whether amplification gain control is enough for NCR’s power control, or we may also need to control NCR’s transmission power.</w:t>
      </w:r>
    </w:p>
    <w:p w14:paraId="1D63B99D" w14:textId="77777777" w:rsidR="000A2E63" w:rsidRDefault="000A2E63" w:rsidP="000A2E63">
      <w:r>
        <w:t>Following formula (1), the NCR’s actual amplification gain is calculated as follows.</w:t>
      </w:r>
    </w:p>
    <w:p w14:paraId="15D4749C" w14:textId="77777777" w:rsidR="000A2E63" w:rsidRDefault="000A2E63" w:rsidP="000A2E63">
      <w:pPr>
        <w:jc w:val="center"/>
      </w:pPr>
      <m:oMath>
        <m:r>
          <m:rPr>
            <m:sty m:val="bi"/>
          </m:rPr>
          <w:rPr>
            <w:rFonts w:ascii="Cambria Math" w:eastAsiaTheme="minorEastAsia" w:hAnsi="Cambria Math"/>
            <w:color w:val="000000"/>
            <w:kern w:val="24"/>
            <w:sz w:val="24"/>
            <w:szCs w:val="24"/>
          </w:rPr>
          <m:t>G≔</m:t>
        </m:r>
        <m:f>
          <m:fPr>
            <m:ctrlPr>
              <w:rPr>
                <w:rFonts w:ascii="Cambria Math" w:eastAsiaTheme="minorEastAsia" w:hAnsi="Cambria Math"/>
                <w:b/>
                <w:i/>
                <w:color w:val="000000"/>
                <w:kern w:val="24"/>
              </w:rPr>
            </m:ctrlPr>
          </m:fPr>
          <m:num>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ctrlPr>
              <w:rPr>
                <w:rFonts w:ascii="Cambria Math" w:eastAsiaTheme="minorEastAsia" w:hAnsi="Cambria Math"/>
                <w:b/>
                <w:bCs/>
                <w:i/>
                <w:iCs/>
                <w:color w:val="000000"/>
                <w:kern w:val="24"/>
                <w:sz w:val="24"/>
                <w:szCs w:val="24"/>
              </w:rPr>
            </m:ctrlPr>
          </m:num>
          <m:den>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den>
        </m:f>
        <m:r>
          <m:rPr>
            <m:sty m:val="bi"/>
          </m:rPr>
          <w:rPr>
            <w:rFonts w:ascii="Cambria Math" w:eastAsiaTheme="minorEastAsia" w:hAnsi="Cambria Math"/>
            <w:color w:val="000000"/>
            <w:kern w:val="24"/>
          </w:rPr>
          <m:t>=</m:t>
        </m:r>
        <m:f>
          <m:fPr>
            <m:ctrlPr>
              <w:rPr>
                <w:rFonts w:ascii="Cambria Math" w:eastAsiaTheme="minorEastAsia" w:hAnsi="Cambria Math"/>
                <w:b/>
                <w:bCs/>
                <w:i/>
                <w:iCs/>
                <w:color w:val="000000"/>
                <w:kern w:val="24"/>
                <w:sz w:val="24"/>
                <w:szCs w:val="24"/>
              </w:rPr>
            </m:ctrlPr>
          </m:fPr>
          <m:num>
            <m:r>
              <m:rPr>
                <m:sty m:val="bi"/>
              </m:rPr>
              <w:rPr>
                <w:rFonts w:ascii="Cambria Math" w:eastAsiaTheme="minorEastAsia" w:hAnsi="Cambria Math"/>
                <w:color w:val="000000"/>
                <w:kern w:val="24"/>
                <w:sz w:val="24"/>
                <w:szCs w:val="24"/>
              </w:rPr>
              <m:t>min</m:t>
            </m:r>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num>
          <m:den>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den>
        </m:f>
      </m:oMath>
      <w:r>
        <w:rPr>
          <w:rFonts w:eastAsiaTheme="minorEastAsia"/>
          <w:b/>
          <w:bCs/>
          <w:iCs/>
          <w:color w:val="000000"/>
          <w:kern w:val="24"/>
          <w:sz w:val="24"/>
          <w:szCs w:val="24"/>
        </w:rPr>
        <w:t xml:space="preserve">   </w:t>
      </w:r>
      <w:r>
        <w:rPr>
          <w:rFonts w:eastAsiaTheme="minorEastAsia"/>
          <w:b/>
          <w:bCs/>
          <w:iCs/>
          <w:color w:val="000000"/>
          <w:kern w:val="24"/>
          <w:sz w:val="24"/>
          <w:szCs w:val="24"/>
        </w:rPr>
        <w:tab/>
      </w:r>
      <w:r>
        <w:rPr>
          <w:rFonts w:eastAsiaTheme="minorEastAsia"/>
          <w:b/>
          <w:bCs/>
          <w:iCs/>
          <w:color w:val="000000"/>
          <w:kern w:val="24"/>
          <w:szCs w:val="24"/>
        </w:rPr>
        <w:t>(3)</w:t>
      </w:r>
    </w:p>
    <w:p w14:paraId="128A3D78" w14:textId="77777777" w:rsidR="000A2E63" w:rsidRDefault="000A2E63" w:rsidP="000A2E63">
      <w:r>
        <w:t>The actual amplification gain depends on RX power (</w:t>
      </w:r>
      <m:oMath>
        <m:sSubSup>
          <m:sSubSupPr>
            <m:ctrlPr>
              <w:rPr>
                <w:rFonts w:ascii="Cambria Math" w:eastAsiaTheme="minorEastAsia" w:hAnsi="Cambria Math"/>
                <w:bCs/>
                <w:i/>
                <w:iCs/>
                <w:color w:val="000000"/>
                <w:kern w:val="24"/>
                <w:sz w:val="24"/>
                <w:szCs w:val="24"/>
              </w:rPr>
            </m:ctrlPr>
          </m:sSubSupPr>
          <m:e>
            <m:r>
              <w:rPr>
                <w:rFonts w:ascii="Cambria Math" w:eastAsiaTheme="minorEastAsia" w:hAnsi="Cambria Math"/>
                <w:color w:val="000000"/>
                <w:kern w:val="24"/>
              </w:rPr>
              <m:t>P</m:t>
            </m:r>
          </m:e>
          <m:sub>
            <m:r>
              <w:rPr>
                <w:rFonts w:ascii="Cambria Math" w:eastAsiaTheme="minorEastAsia" w:hAnsi="Cambria Math"/>
                <w:color w:val="000000"/>
                <w:kern w:val="24"/>
              </w:rPr>
              <m:t>input</m:t>
            </m:r>
          </m:sub>
          <m:sup>
            <m:r>
              <w:rPr>
                <w:rFonts w:ascii="Cambria Math" w:eastAsiaTheme="minorEastAsia" w:hAnsi="Cambria Math"/>
                <w:color w:val="000000"/>
                <w:kern w:val="24"/>
              </w:rPr>
              <m:t>NCR</m:t>
            </m:r>
          </m:sup>
        </m:sSubSup>
      </m:oMath>
      <w:r>
        <w:t xml:space="preserve">), in addition to the max gain and max output power. We further note that the NCR’s RX power may change dynamically (e.g., due to changes in TX power of the transmitter, RB allocation, channel variation, etc.), and gNB may not have full knowledge of NCR’s RX power or may have outdated information. Hence, adjusting amplification gain (by gNB) may not guarantee meeting a desired NCR’s output power. </w:t>
      </w:r>
    </w:p>
    <w:p w14:paraId="5C64F24B" w14:textId="77777777" w:rsidR="000A2E63" w:rsidRDefault="000A2E63" w:rsidP="000A2E63"/>
    <w:p w14:paraId="27B00EF3" w14:textId="77777777" w:rsidR="000A2E63" w:rsidRDefault="000A2E63" w:rsidP="000A2E63">
      <w:pPr>
        <w:rPr>
          <w:b/>
          <w:u w:val="single"/>
        </w:rPr>
      </w:pPr>
      <w:r>
        <w:rPr>
          <w:b/>
          <w:u w:val="single"/>
        </w:rPr>
        <w:t xml:space="preserve">Observation </w:t>
      </w:r>
      <w:r w:rsidR="00B2481A">
        <w:rPr>
          <w:b/>
          <w:u w:val="single"/>
        </w:rPr>
        <w:t>8</w:t>
      </w:r>
    </w:p>
    <w:p w14:paraId="283A42BE" w14:textId="77777777" w:rsidR="000A2E63" w:rsidRDefault="000A2E63" w:rsidP="000A2E63">
      <w:pPr>
        <w:rPr>
          <w:b/>
        </w:rPr>
      </w:pPr>
      <w:r>
        <w:rPr>
          <w:b/>
        </w:rPr>
        <w:t>Regarding adjusting NCR’s amplification gain vs transmission power, the following is observed:</w:t>
      </w:r>
    </w:p>
    <w:p w14:paraId="5E1F2AEB" w14:textId="77777777" w:rsidR="000A2E63" w:rsidRDefault="000A2E63" w:rsidP="000A2E63">
      <w:pPr>
        <w:pStyle w:val="ListParagraph"/>
        <w:numPr>
          <w:ilvl w:val="0"/>
          <w:numId w:val="8"/>
        </w:numPr>
        <w:spacing w:line="256" w:lineRule="auto"/>
        <w:rPr>
          <w:b/>
        </w:rPr>
      </w:pPr>
      <w:r>
        <w:rPr>
          <w:b/>
        </w:rPr>
        <w:t>The actual amplification gain depends on the RX power of the input signal to the NCR.</w:t>
      </w:r>
    </w:p>
    <w:p w14:paraId="6CBE668A" w14:textId="77777777" w:rsidR="000A2E63" w:rsidRDefault="000A2E63" w:rsidP="000A2E63">
      <w:pPr>
        <w:pStyle w:val="ListParagraph"/>
        <w:numPr>
          <w:ilvl w:val="0"/>
          <w:numId w:val="8"/>
        </w:numPr>
        <w:spacing w:line="256" w:lineRule="auto"/>
        <w:rPr>
          <w:b/>
        </w:rPr>
      </w:pPr>
      <w:r>
        <w:rPr>
          <w:b/>
        </w:rPr>
        <w:t>The RX power of the input signal may change, and gNB may not have complete/updated information.</w:t>
      </w:r>
    </w:p>
    <w:p w14:paraId="5F70AEEC" w14:textId="77777777" w:rsidR="000A2E63" w:rsidRDefault="000A2E63" w:rsidP="000A2E63">
      <w:pPr>
        <w:pStyle w:val="ListParagraph"/>
        <w:numPr>
          <w:ilvl w:val="0"/>
          <w:numId w:val="8"/>
        </w:numPr>
        <w:spacing w:line="256" w:lineRule="auto"/>
        <w:rPr>
          <w:b/>
        </w:rPr>
      </w:pPr>
      <w:r>
        <w:rPr>
          <w:b/>
        </w:rPr>
        <w:t>NCR’s amplification gain adjustment may not guarantee meeting a desired NCR’s output power.</w:t>
      </w:r>
    </w:p>
    <w:p w14:paraId="00F37811" w14:textId="77777777" w:rsidR="000A2E63" w:rsidRDefault="000A2E63" w:rsidP="000A2E63">
      <w:pPr>
        <w:rPr>
          <w:b/>
        </w:rPr>
      </w:pPr>
    </w:p>
    <w:p w14:paraId="1751DFF9" w14:textId="77777777" w:rsidR="000A2E63" w:rsidRDefault="000A2E63" w:rsidP="000A2E63">
      <w:pPr>
        <w:rPr>
          <w:b/>
          <w:u w:val="single"/>
        </w:rPr>
      </w:pPr>
      <w:r>
        <w:rPr>
          <w:b/>
          <w:u w:val="single"/>
        </w:rPr>
        <w:t xml:space="preserve">Proposal </w:t>
      </w:r>
      <w:r w:rsidR="00B2481A">
        <w:rPr>
          <w:b/>
          <w:u w:val="single"/>
        </w:rPr>
        <w:t>6</w:t>
      </w:r>
    </w:p>
    <w:p w14:paraId="3B0A04FD" w14:textId="77777777" w:rsidR="000A2E63" w:rsidRDefault="000A2E63" w:rsidP="000A2E63">
      <w:r>
        <w:rPr>
          <w:b/>
        </w:rPr>
        <w:lastRenderedPageBreak/>
        <w:t>NCR’s power control should support controlling of the transmission power of NCR.</w:t>
      </w:r>
    </w:p>
    <w:p w14:paraId="0A6E1F5D" w14:textId="77777777" w:rsidR="000A2E63" w:rsidRDefault="000A2E63" w:rsidP="000A2E63"/>
    <w:p w14:paraId="3DB5EC7B" w14:textId="50A1CE41" w:rsidR="000A2E63" w:rsidRDefault="00EC56EA" w:rsidP="000A2E6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6</w:t>
      </w:r>
      <w:r w:rsidR="000A2E63">
        <w:rPr>
          <w:rFonts w:ascii="Arial" w:eastAsia="Dotum" w:hAnsi="Arial" w:cs="Times New Roman"/>
          <w:sz w:val="36"/>
          <w:szCs w:val="36"/>
          <w:lang w:val="en-GB" w:eastAsia="zh-CN"/>
        </w:rPr>
        <w:t xml:space="preserve"> Conclusion</w:t>
      </w:r>
    </w:p>
    <w:p w14:paraId="073DFF48" w14:textId="77777777" w:rsidR="000A2E63" w:rsidRDefault="000A2E63" w:rsidP="000A2E63">
      <w:r w:rsidRPr="00975F39">
        <w:t xml:space="preserve">In this contribution, we provided our views on </w:t>
      </w:r>
      <w:r w:rsidR="00B2481A">
        <w:t xml:space="preserve">NCR’s procedures, capabilities and </w:t>
      </w:r>
      <w:r>
        <w:t>power control and made the following observations and proposals.</w:t>
      </w:r>
    </w:p>
    <w:p w14:paraId="70772367" w14:textId="0614C692" w:rsidR="000A2E63" w:rsidRDefault="000A2E63" w:rsidP="000A2E63"/>
    <w:p w14:paraId="6D31AA20" w14:textId="77777777" w:rsidR="00C8702B" w:rsidRPr="00A60487" w:rsidRDefault="00C8702B" w:rsidP="00C8702B">
      <w:pPr>
        <w:rPr>
          <w:b/>
          <w:u w:val="single"/>
        </w:rPr>
      </w:pPr>
      <w:r w:rsidRPr="00A60487">
        <w:rPr>
          <w:b/>
          <w:u w:val="single"/>
        </w:rPr>
        <w:t xml:space="preserve">Proposal </w:t>
      </w:r>
      <w:r>
        <w:rPr>
          <w:b/>
          <w:u w:val="single"/>
        </w:rPr>
        <w:t>1</w:t>
      </w:r>
    </w:p>
    <w:p w14:paraId="2558818B" w14:textId="77777777" w:rsidR="00C8702B" w:rsidRPr="00EE564E" w:rsidRDefault="00C8702B" w:rsidP="00C8702B">
      <w:pPr>
        <w:overflowPunct w:val="0"/>
        <w:autoSpaceDE w:val="0"/>
        <w:autoSpaceDN w:val="0"/>
        <w:adjustRightInd w:val="0"/>
        <w:spacing w:after="120" w:line="240" w:lineRule="auto"/>
        <w:textAlignment w:val="baseline"/>
        <w:rPr>
          <w:b/>
        </w:rPr>
      </w:pPr>
      <w:r w:rsidRPr="00EE564E">
        <w:rPr>
          <w:b/>
        </w:rPr>
        <w:t>NCR-MT inherits the same legacy features as those defined for a UE.</w:t>
      </w:r>
      <w:r>
        <w:rPr>
          <w:b/>
        </w:rPr>
        <w:t xml:space="preserve"> </w:t>
      </w:r>
      <w:r w:rsidRPr="00EE564E">
        <w:rPr>
          <w:b/>
        </w:rPr>
        <w:t>There is no need to further discuss or change legacy mechanisms to support NCR-MT’s operation over the control-link.</w:t>
      </w:r>
    </w:p>
    <w:p w14:paraId="6612757A" w14:textId="4F6E64F9" w:rsidR="00C8702B" w:rsidRDefault="00C8702B" w:rsidP="000A2E63"/>
    <w:p w14:paraId="0EBA39F2" w14:textId="77777777" w:rsidR="0037568C" w:rsidRPr="00A60487" w:rsidRDefault="0037568C" w:rsidP="0037568C">
      <w:pPr>
        <w:rPr>
          <w:b/>
          <w:u w:val="single"/>
        </w:rPr>
      </w:pPr>
      <w:r>
        <w:rPr>
          <w:b/>
          <w:u w:val="single"/>
        </w:rPr>
        <w:t>Observation</w:t>
      </w:r>
      <w:r w:rsidRPr="00A60487">
        <w:rPr>
          <w:b/>
          <w:u w:val="single"/>
        </w:rPr>
        <w:t xml:space="preserve"> </w:t>
      </w:r>
      <w:r>
        <w:rPr>
          <w:b/>
          <w:u w:val="single"/>
        </w:rPr>
        <w:t>1</w:t>
      </w:r>
    </w:p>
    <w:p w14:paraId="194DA92C" w14:textId="77777777" w:rsidR="0037568C" w:rsidRDefault="0037568C" w:rsidP="0037568C">
      <w:pPr>
        <w:overflowPunct w:val="0"/>
        <w:autoSpaceDE w:val="0"/>
        <w:autoSpaceDN w:val="0"/>
        <w:adjustRightInd w:val="0"/>
        <w:spacing w:after="120" w:line="240" w:lineRule="auto"/>
        <w:textAlignment w:val="baseline"/>
        <w:rPr>
          <w:b/>
        </w:rPr>
      </w:pPr>
      <w:r>
        <w:rPr>
          <w:b/>
        </w:rPr>
        <w:t>HARQ-ACK feedback for PDCCH carrying side control can improve the reliability at the expense of more overhead and possibly more end-to-end latency.</w:t>
      </w:r>
    </w:p>
    <w:p w14:paraId="18DEF218" w14:textId="77777777" w:rsidR="0037568C" w:rsidRPr="00A60487" w:rsidRDefault="0037568C" w:rsidP="0037568C">
      <w:pPr>
        <w:rPr>
          <w:b/>
          <w:u w:val="single"/>
        </w:rPr>
      </w:pPr>
      <w:r>
        <w:rPr>
          <w:b/>
          <w:u w:val="single"/>
        </w:rPr>
        <w:t>Observation</w:t>
      </w:r>
      <w:r w:rsidRPr="00A60487">
        <w:rPr>
          <w:b/>
          <w:u w:val="single"/>
        </w:rPr>
        <w:t xml:space="preserve"> </w:t>
      </w:r>
      <w:r>
        <w:rPr>
          <w:b/>
          <w:u w:val="single"/>
        </w:rPr>
        <w:t>2</w:t>
      </w:r>
    </w:p>
    <w:p w14:paraId="3BFA40D6" w14:textId="77777777" w:rsidR="0037568C" w:rsidRDefault="0037568C" w:rsidP="0037568C">
      <w:pPr>
        <w:overflowPunct w:val="0"/>
        <w:autoSpaceDE w:val="0"/>
        <w:autoSpaceDN w:val="0"/>
        <w:adjustRightInd w:val="0"/>
        <w:spacing w:after="120" w:line="240" w:lineRule="auto"/>
        <w:textAlignment w:val="baseline"/>
        <w:rPr>
          <w:b/>
        </w:rPr>
      </w:pPr>
      <w:r>
        <w:rPr>
          <w:b/>
        </w:rPr>
        <w:t>Network should have the flexibility to enable/disable HARQ-ACK feedback for PDCCH carrying side control.</w:t>
      </w:r>
    </w:p>
    <w:p w14:paraId="3BA8C09B" w14:textId="77777777" w:rsidR="0037568C" w:rsidRPr="00A60487" w:rsidRDefault="0037568C" w:rsidP="0037568C">
      <w:pPr>
        <w:rPr>
          <w:b/>
          <w:u w:val="single"/>
        </w:rPr>
      </w:pPr>
      <w:r>
        <w:rPr>
          <w:b/>
          <w:u w:val="single"/>
        </w:rPr>
        <w:t>Proposal</w:t>
      </w:r>
      <w:r w:rsidRPr="00A60487">
        <w:rPr>
          <w:b/>
          <w:u w:val="single"/>
        </w:rPr>
        <w:t xml:space="preserve"> </w:t>
      </w:r>
      <w:r>
        <w:rPr>
          <w:b/>
          <w:u w:val="single"/>
        </w:rPr>
        <w:t>2</w:t>
      </w:r>
    </w:p>
    <w:p w14:paraId="53F1D75E" w14:textId="77777777" w:rsidR="0037568C" w:rsidRDefault="0037568C" w:rsidP="0037568C">
      <w:pPr>
        <w:overflowPunct w:val="0"/>
        <w:autoSpaceDE w:val="0"/>
        <w:autoSpaceDN w:val="0"/>
        <w:adjustRightInd w:val="0"/>
        <w:spacing w:after="120" w:line="240" w:lineRule="auto"/>
        <w:textAlignment w:val="baseline"/>
        <w:rPr>
          <w:b/>
        </w:rPr>
      </w:pPr>
      <w:r>
        <w:rPr>
          <w:b/>
        </w:rPr>
        <w:t>Support optional HARQ-ACK feedback for PDCCH carrying side control information.</w:t>
      </w:r>
    </w:p>
    <w:p w14:paraId="7FE021E9" w14:textId="77777777" w:rsidR="0037568C" w:rsidRPr="00B2481A" w:rsidRDefault="0037568C" w:rsidP="0037568C">
      <w:pPr>
        <w:pStyle w:val="ListParagraph"/>
        <w:numPr>
          <w:ilvl w:val="0"/>
          <w:numId w:val="17"/>
        </w:numPr>
        <w:overflowPunct w:val="0"/>
        <w:autoSpaceDE w:val="0"/>
        <w:autoSpaceDN w:val="0"/>
        <w:adjustRightInd w:val="0"/>
        <w:spacing w:after="120" w:line="240" w:lineRule="auto"/>
        <w:textAlignment w:val="baseline"/>
        <w:rPr>
          <w:b/>
        </w:rPr>
      </w:pPr>
      <w:r>
        <w:rPr>
          <w:b/>
        </w:rPr>
        <w:t>FFS: how does the network enable/disable the feedback?</w:t>
      </w:r>
    </w:p>
    <w:p w14:paraId="59247621" w14:textId="0DBF1401" w:rsidR="00C8702B" w:rsidRDefault="00C8702B" w:rsidP="000A2E63"/>
    <w:p w14:paraId="219EBE59" w14:textId="77777777" w:rsidR="0037568C" w:rsidRPr="00A60487" w:rsidRDefault="0037568C" w:rsidP="0037568C">
      <w:pPr>
        <w:rPr>
          <w:b/>
          <w:u w:val="single"/>
        </w:rPr>
      </w:pPr>
      <w:r w:rsidRPr="00A60487">
        <w:rPr>
          <w:b/>
          <w:u w:val="single"/>
        </w:rPr>
        <w:t xml:space="preserve">Proposal </w:t>
      </w:r>
      <w:r>
        <w:rPr>
          <w:b/>
          <w:u w:val="single"/>
        </w:rPr>
        <w:t>3</w:t>
      </w:r>
    </w:p>
    <w:p w14:paraId="61F91068" w14:textId="77777777" w:rsidR="0037568C" w:rsidRPr="00A60487" w:rsidRDefault="0037568C" w:rsidP="0037568C">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4BB6E33A" w14:textId="77777777" w:rsidR="00EC56EA" w:rsidRPr="00F92537" w:rsidRDefault="00EC56EA" w:rsidP="00EC56EA">
      <w:pPr>
        <w:rPr>
          <w:b/>
          <w:u w:val="single"/>
        </w:rPr>
      </w:pPr>
      <w:r w:rsidRPr="00F92537">
        <w:rPr>
          <w:b/>
          <w:u w:val="single"/>
        </w:rPr>
        <w:t xml:space="preserve">Observation </w:t>
      </w:r>
      <w:r>
        <w:rPr>
          <w:b/>
          <w:u w:val="single"/>
        </w:rPr>
        <w:t>3</w:t>
      </w:r>
    </w:p>
    <w:p w14:paraId="4237FADE" w14:textId="77777777" w:rsidR="00EC56EA" w:rsidRPr="00F92537" w:rsidRDefault="00EC56EA" w:rsidP="00EC56EA">
      <w:pPr>
        <w:overflowPunct w:val="0"/>
        <w:autoSpaceDE w:val="0"/>
        <w:autoSpaceDN w:val="0"/>
        <w:adjustRightInd w:val="0"/>
        <w:spacing w:after="120" w:line="240" w:lineRule="auto"/>
        <w:textAlignment w:val="baseline"/>
        <w:rPr>
          <w:b/>
        </w:rPr>
      </w:pPr>
      <w:r w:rsidRPr="00F92537">
        <w:rPr>
          <w:b/>
        </w:rPr>
        <w:t>A repeater has features/configurations associated with its NCR-</w:t>
      </w:r>
      <w:proofErr w:type="spellStart"/>
      <w:r w:rsidRPr="00F92537">
        <w:rPr>
          <w:b/>
        </w:rPr>
        <w:t>Fwd</w:t>
      </w:r>
      <w:proofErr w:type="spellEnd"/>
      <w:r w:rsidRPr="00F92537">
        <w:rPr>
          <w:b/>
        </w:rPr>
        <w:t xml:space="preserve"> – such as beam-related (e.g., number of supported TX/RX beams), power-related (e.g., NCR-</w:t>
      </w:r>
      <w:proofErr w:type="spellStart"/>
      <w:r w:rsidRPr="00F92537">
        <w:rPr>
          <w:b/>
        </w:rPr>
        <w:t>Fwd’s</w:t>
      </w:r>
      <w:proofErr w:type="spellEnd"/>
      <w:r w:rsidRPr="00F92537">
        <w:rPr>
          <w:b/>
        </w:rPr>
        <w:t xml:space="preserve"> max power, max amplification gain, or power headroom), and frequency-related information (e.g., supported passbands, and whether NCR supports selective forwarding across the passbands). </w:t>
      </w:r>
    </w:p>
    <w:p w14:paraId="789FE578" w14:textId="77777777" w:rsidR="00EC56EA" w:rsidRPr="00F92537" w:rsidRDefault="00EC56EA" w:rsidP="00EC56EA">
      <w:pPr>
        <w:rPr>
          <w:b/>
          <w:u w:val="single"/>
        </w:rPr>
      </w:pPr>
      <w:r w:rsidRPr="00F92537">
        <w:rPr>
          <w:b/>
          <w:u w:val="single"/>
        </w:rPr>
        <w:t xml:space="preserve">Proposal </w:t>
      </w:r>
      <w:r>
        <w:rPr>
          <w:b/>
          <w:u w:val="single"/>
        </w:rPr>
        <w:t>4</w:t>
      </w:r>
    </w:p>
    <w:p w14:paraId="29333018" w14:textId="77777777" w:rsidR="00EC56EA" w:rsidRPr="00F92537" w:rsidRDefault="00EC56EA" w:rsidP="00EC56EA">
      <w:pPr>
        <w:overflowPunct w:val="0"/>
        <w:autoSpaceDE w:val="0"/>
        <w:autoSpaceDN w:val="0"/>
        <w:adjustRightInd w:val="0"/>
        <w:spacing w:after="120" w:line="240" w:lineRule="auto"/>
        <w:textAlignment w:val="baseline"/>
        <w:rPr>
          <w:b/>
        </w:rPr>
      </w:pPr>
      <w:r w:rsidRPr="00F92537">
        <w:rPr>
          <w:b/>
        </w:rPr>
        <w:t>Support indication of NCR-</w:t>
      </w:r>
      <w:proofErr w:type="spellStart"/>
      <w:r w:rsidRPr="00F92537">
        <w:rPr>
          <w:b/>
        </w:rPr>
        <w:t>Fwd’s</w:t>
      </w:r>
      <w:proofErr w:type="spellEnd"/>
      <w:r w:rsidRPr="00F92537">
        <w:rPr>
          <w:b/>
        </w:rPr>
        <w:t xml:space="preserve"> specific information to the network, including </w:t>
      </w:r>
    </w:p>
    <w:p w14:paraId="2BC8DA2B" w14:textId="77777777" w:rsidR="00EC56EA" w:rsidRPr="00F92537" w:rsidRDefault="00EC56EA" w:rsidP="00EC56EA">
      <w:pPr>
        <w:numPr>
          <w:ilvl w:val="0"/>
          <w:numId w:val="4"/>
        </w:numPr>
        <w:overflowPunct w:val="0"/>
        <w:autoSpaceDE w:val="0"/>
        <w:autoSpaceDN w:val="0"/>
        <w:adjustRightInd w:val="0"/>
        <w:spacing w:after="120" w:line="240" w:lineRule="auto"/>
        <w:contextualSpacing/>
        <w:textAlignment w:val="baseline"/>
        <w:rPr>
          <w:b/>
        </w:rPr>
      </w:pPr>
      <w:r w:rsidRPr="00F92537">
        <w:rPr>
          <w:b/>
        </w:rPr>
        <w:t>Beam-relate information (</w:t>
      </w:r>
      <w:r>
        <w:rPr>
          <w:b/>
        </w:rPr>
        <w:t>including number of access link beams and their spatial relationships</w:t>
      </w:r>
      <w:r w:rsidRPr="00F92537">
        <w:rPr>
          <w:b/>
        </w:rPr>
        <w:t>)</w:t>
      </w:r>
    </w:p>
    <w:p w14:paraId="5366681B" w14:textId="77777777" w:rsidR="00EC56EA" w:rsidRPr="00F92537" w:rsidRDefault="00EC56EA" w:rsidP="00EC56EA">
      <w:pPr>
        <w:numPr>
          <w:ilvl w:val="0"/>
          <w:numId w:val="4"/>
        </w:numPr>
        <w:overflowPunct w:val="0"/>
        <w:autoSpaceDE w:val="0"/>
        <w:autoSpaceDN w:val="0"/>
        <w:adjustRightInd w:val="0"/>
        <w:spacing w:after="120" w:line="240" w:lineRule="auto"/>
        <w:contextualSpacing/>
        <w:textAlignment w:val="baseline"/>
        <w:rPr>
          <w:b/>
        </w:rPr>
      </w:pPr>
      <w:r w:rsidRPr="00F92537">
        <w:rPr>
          <w:b/>
        </w:rPr>
        <w:t>Power-related information (e.g., NCR-</w:t>
      </w:r>
      <w:proofErr w:type="spellStart"/>
      <w:r w:rsidRPr="00F92537">
        <w:rPr>
          <w:b/>
        </w:rPr>
        <w:t>Fwd’s</w:t>
      </w:r>
      <w:proofErr w:type="spellEnd"/>
      <w:r w:rsidRPr="00F92537">
        <w:rPr>
          <w:b/>
        </w:rPr>
        <w:t xml:space="preserve"> max power, max amplification gain, or power headroom</w:t>
      </w:r>
      <w:r>
        <w:rPr>
          <w:b/>
        </w:rPr>
        <w:t>)</w:t>
      </w:r>
    </w:p>
    <w:p w14:paraId="1AB4AE66" w14:textId="5E67BB69" w:rsidR="00EC56EA" w:rsidRDefault="00EC56EA" w:rsidP="00EC56EA">
      <w:pPr>
        <w:numPr>
          <w:ilvl w:val="0"/>
          <w:numId w:val="4"/>
        </w:numPr>
        <w:overflowPunct w:val="0"/>
        <w:autoSpaceDE w:val="0"/>
        <w:autoSpaceDN w:val="0"/>
        <w:adjustRightInd w:val="0"/>
        <w:spacing w:after="120" w:line="240" w:lineRule="auto"/>
        <w:contextualSpacing/>
        <w:textAlignment w:val="baseline"/>
        <w:rPr>
          <w:b/>
        </w:rPr>
      </w:pPr>
      <w:r w:rsidRPr="00F92537">
        <w:rPr>
          <w:b/>
        </w:rPr>
        <w:lastRenderedPageBreak/>
        <w:t>Frequency-related information (e.g., supported passbands, and whether NCR supports selective forwarding across the passbands)</w:t>
      </w:r>
    </w:p>
    <w:p w14:paraId="4C8DA667" w14:textId="6BABAB09" w:rsidR="00173DF3" w:rsidRPr="00173DF3" w:rsidRDefault="00173DF3" w:rsidP="00173DF3">
      <w:pPr>
        <w:numPr>
          <w:ilvl w:val="0"/>
          <w:numId w:val="4"/>
        </w:numPr>
        <w:overflowPunct w:val="0"/>
        <w:autoSpaceDE w:val="0"/>
        <w:autoSpaceDN w:val="0"/>
        <w:adjustRightInd w:val="0"/>
        <w:spacing w:after="120" w:line="240" w:lineRule="auto"/>
        <w:contextualSpacing/>
        <w:textAlignment w:val="baseline"/>
        <w:rPr>
          <w:b/>
        </w:rPr>
      </w:pPr>
      <w:r>
        <w:rPr>
          <w:b/>
        </w:rPr>
        <w:t>UL-DL reciprocity information (whether the reciprocity can be supported or not)</w:t>
      </w:r>
    </w:p>
    <w:p w14:paraId="209349AF" w14:textId="77777777" w:rsidR="00EC56EA" w:rsidRPr="00F92537" w:rsidRDefault="00EC56EA" w:rsidP="00EC56EA">
      <w:pPr>
        <w:overflowPunct w:val="0"/>
        <w:autoSpaceDE w:val="0"/>
        <w:autoSpaceDN w:val="0"/>
        <w:adjustRightInd w:val="0"/>
        <w:spacing w:after="120" w:line="240" w:lineRule="auto"/>
        <w:contextualSpacing/>
        <w:textAlignment w:val="baseline"/>
        <w:rPr>
          <w:b/>
        </w:rPr>
      </w:pPr>
      <w:r>
        <w:rPr>
          <w:b/>
        </w:rPr>
        <w:t>Decisions about s</w:t>
      </w:r>
      <w:r w:rsidRPr="00F92537">
        <w:rPr>
          <w:b/>
        </w:rPr>
        <w:t>ignaling method (e.g., new L1/L2 signaling, or L3 signaling with a possibility of joint report with repeater’s other features/capabilities associated with NCR-MT)</w:t>
      </w:r>
      <w:r>
        <w:rPr>
          <w:b/>
        </w:rPr>
        <w:t xml:space="preserve"> is left to RAN2. </w:t>
      </w:r>
    </w:p>
    <w:p w14:paraId="766F29AD" w14:textId="77777777" w:rsidR="0037568C" w:rsidRDefault="0037568C" w:rsidP="000A2E63"/>
    <w:p w14:paraId="259613BE" w14:textId="77777777" w:rsidR="000A2E63" w:rsidRDefault="000A2E63" w:rsidP="000A2E63">
      <w:pPr>
        <w:overflowPunct w:val="0"/>
        <w:autoSpaceDE w:val="0"/>
        <w:autoSpaceDN w:val="0"/>
        <w:adjustRightInd w:val="0"/>
        <w:spacing w:after="120" w:line="240" w:lineRule="auto"/>
        <w:contextualSpacing/>
        <w:textAlignment w:val="baseline"/>
        <w:rPr>
          <w:b/>
        </w:rPr>
      </w:pPr>
    </w:p>
    <w:p w14:paraId="0980141A" w14:textId="77777777" w:rsidR="000A2E63" w:rsidRDefault="000A2E63" w:rsidP="000A2E63">
      <w:pPr>
        <w:jc w:val="center"/>
      </w:pPr>
      <w:r>
        <w:t>--- power control ---</w:t>
      </w:r>
    </w:p>
    <w:p w14:paraId="118FE624" w14:textId="77777777" w:rsidR="000A2E63" w:rsidRDefault="000A2E63" w:rsidP="000A2E63">
      <w:pPr>
        <w:overflowPunct w:val="0"/>
        <w:autoSpaceDE w:val="0"/>
        <w:autoSpaceDN w:val="0"/>
        <w:adjustRightInd w:val="0"/>
        <w:spacing w:after="120" w:line="240" w:lineRule="auto"/>
        <w:contextualSpacing/>
        <w:textAlignment w:val="baseline"/>
        <w:rPr>
          <w:b/>
        </w:rPr>
      </w:pPr>
    </w:p>
    <w:p w14:paraId="587CAB7F" w14:textId="7E39ED6E" w:rsidR="000A2E63" w:rsidRDefault="000A2E63" w:rsidP="000A2E63">
      <w:pPr>
        <w:rPr>
          <w:b/>
          <w:u w:val="single"/>
        </w:rPr>
      </w:pPr>
      <w:r>
        <w:rPr>
          <w:b/>
          <w:u w:val="single"/>
        </w:rPr>
        <w:t xml:space="preserve">Observation </w:t>
      </w:r>
      <w:r w:rsidR="0025652C">
        <w:rPr>
          <w:b/>
          <w:u w:val="single"/>
        </w:rPr>
        <w:t>4</w:t>
      </w:r>
    </w:p>
    <w:p w14:paraId="41CC1EB9" w14:textId="77777777" w:rsidR="000A2E63" w:rsidRDefault="000A2E63" w:rsidP="000A2E63">
      <w:pPr>
        <w:rPr>
          <w:b/>
        </w:rPr>
      </w:pPr>
      <w:r>
        <w:rPr>
          <w:b/>
        </w:rPr>
        <w:t>Repeater’s output power is subject to (a) a max TX power, and (b) a max amplification gain. Therefore, depending on the level of input power, the repeater may operate in one of gain-limited or TX power-limited regions.</w:t>
      </w:r>
    </w:p>
    <w:p w14:paraId="4EC37526" w14:textId="04C55F1E" w:rsidR="000A2E63" w:rsidRDefault="000A2E63" w:rsidP="000A2E63">
      <w:pPr>
        <w:rPr>
          <w:b/>
          <w:u w:val="single"/>
        </w:rPr>
      </w:pPr>
      <w:r>
        <w:rPr>
          <w:b/>
          <w:u w:val="single"/>
        </w:rPr>
        <w:t xml:space="preserve">Observation </w:t>
      </w:r>
      <w:r w:rsidR="0025652C">
        <w:rPr>
          <w:b/>
          <w:u w:val="single"/>
        </w:rPr>
        <w:t>5</w:t>
      </w:r>
    </w:p>
    <w:p w14:paraId="3B7219C2" w14:textId="77777777" w:rsidR="000A2E63" w:rsidRDefault="000A2E63" w:rsidP="000A2E63">
      <w:pPr>
        <w:rPr>
          <w:b/>
        </w:rPr>
      </w:pPr>
      <w:r>
        <w:rPr>
          <w:b/>
        </w:rPr>
        <w:t>NCR’s power control, via side control, is needed at least for the following use-cases:</w:t>
      </w:r>
    </w:p>
    <w:p w14:paraId="2352F0FC" w14:textId="77777777" w:rsidR="000A2E63" w:rsidRDefault="000A2E63" w:rsidP="000A2E63">
      <w:pPr>
        <w:pStyle w:val="ListParagraph"/>
        <w:numPr>
          <w:ilvl w:val="0"/>
          <w:numId w:val="8"/>
        </w:numPr>
        <w:spacing w:line="256" w:lineRule="auto"/>
        <w:rPr>
          <w:b/>
        </w:rPr>
      </w:pPr>
      <w:r>
        <w:rPr>
          <w:b/>
        </w:rPr>
        <w:t>EPRE control (e.g., to maintain constant TX power for SSB/CSI-RS)</w:t>
      </w:r>
    </w:p>
    <w:p w14:paraId="3FF3AE4A" w14:textId="77777777" w:rsidR="000A2E63" w:rsidRDefault="000A2E63" w:rsidP="000A2E63">
      <w:pPr>
        <w:pStyle w:val="ListParagraph"/>
        <w:numPr>
          <w:ilvl w:val="0"/>
          <w:numId w:val="8"/>
        </w:numPr>
        <w:spacing w:line="256" w:lineRule="auto"/>
        <w:rPr>
          <w:b/>
        </w:rPr>
      </w:pPr>
      <w:r>
        <w:rPr>
          <w:b/>
        </w:rPr>
        <w:t>Interference management</w:t>
      </w:r>
    </w:p>
    <w:p w14:paraId="02723650" w14:textId="77777777" w:rsidR="000A2E63" w:rsidRDefault="000A2E63" w:rsidP="000A2E63">
      <w:pPr>
        <w:pStyle w:val="ListParagraph"/>
        <w:numPr>
          <w:ilvl w:val="0"/>
          <w:numId w:val="8"/>
        </w:numPr>
        <w:spacing w:line="256" w:lineRule="auto"/>
        <w:rPr>
          <w:b/>
        </w:rPr>
      </w:pPr>
      <w:r>
        <w:rPr>
          <w:b/>
        </w:rPr>
        <w:t>Proper and timely gain control to avoid PA saturation</w:t>
      </w:r>
    </w:p>
    <w:p w14:paraId="729A3DFA" w14:textId="77777777" w:rsidR="000A2E63" w:rsidRDefault="000A2E63" w:rsidP="000A2E63">
      <w:pPr>
        <w:pStyle w:val="ListParagraph"/>
        <w:numPr>
          <w:ilvl w:val="0"/>
          <w:numId w:val="8"/>
        </w:numPr>
        <w:spacing w:line="256" w:lineRule="auto"/>
        <w:rPr>
          <w:b/>
        </w:rPr>
      </w:pPr>
      <w:r>
        <w:rPr>
          <w:b/>
        </w:rPr>
        <w:t>Proper power control when FDMing NCR-MT’s UL and NCR-Fwd’s forwarded signals</w:t>
      </w:r>
    </w:p>
    <w:p w14:paraId="22489264" w14:textId="77777777" w:rsidR="000A2E63" w:rsidRDefault="000A2E63" w:rsidP="000A2E63">
      <w:pPr>
        <w:pStyle w:val="ListParagraph"/>
        <w:numPr>
          <w:ilvl w:val="0"/>
          <w:numId w:val="8"/>
        </w:numPr>
        <w:spacing w:line="256" w:lineRule="auto"/>
        <w:rPr>
          <w:b/>
        </w:rPr>
      </w:pPr>
      <w:r>
        <w:rPr>
          <w:b/>
        </w:rPr>
        <w:t>Power saving</w:t>
      </w:r>
    </w:p>
    <w:p w14:paraId="5524C664" w14:textId="52FB2B67" w:rsidR="000A2E63" w:rsidRDefault="000A2E63" w:rsidP="000A2E63">
      <w:pPr>
        <w:rPr>
          <w:b/>
          <w:u w:val="single"/>
        </w:rPr>
      </w:pPr>
      <w:r>
        <w:rPr>
          <w:b/>
          <w:u w:val="single"/>
        </w:rPr>
        <w:t xml:space="preserve">Observation </w:t>
      </w:r>
      <w:r w:rsidR="0025652C">
        <w:rPr>
          <w:b/>
          <w:u w:val="single"/>
        </w:rPr>
        <w:t>6</w:t>
      </w:r>
    </w:p>
    <w:p w14:paraId="7EDBCFC7" w14:textId="77777777" w:rsidR="000A2E63" w:rsidRDefault="000A2E63" w:rsidP="000A2E63">
      <w:pPr>
        <w:rPr>
          <w:b/>
        </w:rPr>
      </w:pPr>
      <w:r>
        <w:rPr>
          <w:b/>
        </w:rPr>
        <w:t>In the TX power-limited region, the effective output power per RB reduces for larger RB allocations. This is particularly undesirable, when forwarding DL symbols that carry DL-RS (e.g., SSB or CSI-RS).</w:t>
      </w:r>
    </w:p>
    <w:p w14:paraId="51BF033F" w14:textId="52F8D435" w:rsidR="000A2E63" w:rsidRDefault="000A2E63" w:rsidP="000A2E63">
      <w:pPr>
        <w:rPr>
          <w:b/>
          <w:u w:val="single"/>
        </w:rPr>
      </w:pPr>
      <w:r>
        <w:rPr>
          <w:b/>
          <w:u w:val="single"/>
        </w:rPr>
        <w:t xml:space="preserve">Observation </w:t>
      </w:r>
      <w:r w:rsidR="0025652C">
        <w:rPr>
          <w:b/>
          <w:u w:val="single"/>
        </w:rPr>
        <w:t>7</w:t>
      </w:r>
    </w:p>
    <w:p w14:paraId="27EC6EC4" w14:textId="77777777" w:rsidR="000A2E63" w:rsidRDefault="000A2E63" w:rsidP="000A2E63">
      <w:pPr>
        <w:rPr>
          <w:b/>
        </w:rPr>
      </w:pPr>
      <w:r>
        <w:rPr>
          <w:b/>
        </w:rPr>
        <w:t>For UL power control and to achieve a desired adjustment in UL RX power at the gNB, changing UE’s UL TX power can lead to a significant degradation of UE’s end-to-end SNR and throughput.</w:t>
      </w:r>
    </w:p>
    <w:p w14:paraId="346217BE" w14:textId="77777777" w:rsidR="000A2E63" w:rsidRDefault="000A2E63" w:rsidP="000A2E63">
      <w:pPr>
        <w:rPr>
          <w:b/>
        </w:rPr>
      </w:pPr>
      <w:r>
        <w:rPr>
          <w:b/>
        </w:rPr>
        <w:t xml:space="preserve">Alternatively, changing NCR’s output power and maintaining UE’s UL TX power can achieve the desired adjustment at much lower impact on the end-to-end SNR. </w:t>
      </w:r>
    </w:p>
    <w:p w14:paraId="323592E4" w14:textId="0E7A33B2" w:rsidR="000A2E63" w:rsidRDefault="000A2E63" w:rsidP="000A2E63">
      <w:pPr>
        <w:rPr>
          <w:b/>
          <w:u w:val="single"/>
        </w:rPr>
      </w:pPr>
      <w:r>
        <w:rPr>
          <w:b/>
          <w:u w:val="single"/>
        </w:rPr>
        <w:t xml:space="preserve">Proposal </w:t>
      </w:r>
      <w:r w:rsidR="0025652C">
        <w:rPr>
          <w:b/>
          <w:u w:val="single"/>
        </w:rPr>
        <w:t>5</w:t>
      </w:r>
    </w:p>
    <w:p w14:paraId="4C50F784" w14:textId="77777777" w:rsidR="000A2E63" w:rsidRDefault="000A2E63" w:rsidP="000A2E63">
      <w:pPr>
        <w:rPr>
          <w:b/>
          <w:lang w:val="en-GB"/>
        </w:rPr>
      </w:pPr>
      <w:r>
        <w:rPr>
          <w:b/>
        </w:rPr>
        <w:t xml:space="preserve">Support NCR’s power control via side control information indication. </w:t>
      </w:r>
    </w:p>
    <w:p w14:paraId="59344FC1" w14:textId="72D48646" w:rsidR="000A2E63" w:rsidRDefault="000A2E63" w:rsidP="000A2E63">
      <w:pPr>
        <w:rPr>
          <w:b/>
          <w:u w:val="single"/>
        </w:rPr>
      </w:pPr>
      <w:r>
        <w:rPr>
          <w:b/>
          <w:u w:val="single"/>
        </w:rPr>
        <w:t xml:space="preserve">Observation </w:t>
      </w:r>
      <w:r w:rsidR="0025652C">
        <w:rPr>
          <w:b/>
          <w:u w:val="single"/>
        </w:rPr>
        <w:t>8</w:t>
      </w:r>
    </w:p>
    <w:p w14:paraId="46E47FEC" w14:textId="77777777" w:rsidR="000A2E63" w:rsidRDefault="000A2E63" w:rsidP="000A2E63">
      <w:pPr>
        <w:rPr>
          <w:b/>
        </w:rPr>
      </w:pPr>
      <w:r>
        <w:rPr>
          <w:b/>
        </w:rPr>
        <w:t>Regarding adjusting NCR’s amplification gain vs transmission power, the following is observed:</w:t>
      </w:r>
    </w:p>
    <w:p w14:paraId="470C4E49" w14:textId="77777777" w:rsidR="000A2E63" w:rsidRDefault="000A2E63" w:rsidP="000A2E63">
      <w:pPr>
        <w:pStyle w:val="ListParagraph"/>
        <w:numPr>
          <w:ilvl w:val="0"/>
          <w:numId w:val="8"/>
        </w:numPr>
        <w:spacing w:line="256" w:lineRule="auto"/>
        <w:rPr>
          <w:b/>
        </w:rPr>
      </w:pPr>
      <w:r>
        <w:rPr>
          <w:b/>
        </w:rPr>
        <w:t>The actual amplification gain depends on the RX power of the input signal to the NCR.</w:t>
      </w:r>
    </w:p>
    <w:p w14:paraId="3E242049" w14:textId="77777777" w:rsidR="000A2E63" w:rsidRDefault="000A2E63" w:rsidP="000A2E63">
      <w:pPr>
        <w:pStyle w:val="ListParagraph"/>
        <w:numPr>
          <w:ilvl w:val="0"/>
          <w:numId w:val="8"/>
        </w:numPr>
        <w:spacing w:line="256" w:lineRule="auto"/>
        <w:rPr>
          <w:b/>
        </w:rPr>
      </w:pPr>
      <w:r>
        <w:rPr>
          <w:b/>
        </w:rPr>
        <w:t>The RX power of the input signal may change, and gNB may not have complete/updated information.</w:t>
      </w:r>
    </w:p>
    <w:p w14:paraId="0AF75B3A" w14:textId="77777777" w:rsidR="000A2E63" w:rsidRDefault="000A2E63" w:rsidP="000A2E63">
      <w:pPr>
        <w:pStyle w:val="ListParagraph"/>
        <w:numPr>
          <w:ilvl w:val="0"/>
          <w:numId w:val="8"/>
        </w:numPr>
        <w:spacing w:line="256" w:lineRule="auto"/>
        <w:rPr>
          <w:b/>
        </w:rPr>
      </w:pPr>
      <w:r>
        <w:rPr>
          <w:b/>
        </w:rPr>
        <w:lastRenderedPageBreak/>
        <w:t>NCR’s amplification gain adjustment may not guarantee meeting a desired NCR’s output power.</w:t>
      </w:r>
    </w:p>
    <w:p w14:paraId="4E737738" w14:textId="7793F3BE" w:rsidR="000A2E63" w:rsidRDefault="000A2E63" w:rsidP="000A2E63">
      <w:pPr>
        <w:rPr>
          <w:b/>
          <w:u w:val="single"/>
        </w:rPr>
      </w:pPr>
      <w:r>
        <w:rPr>
          <w:b/>
          <w:u w:val="single"/>
        </w:rPr>
        <w:t xml:space="preserve">Proposal </w:t>
      </w:r>
      <w:r w:rsidR="0025652C">
        <w:rPr>
          <w:b/>
          <w:u w:val="single"/>
        </w:rPr>
        <w:t>6</w:t>
      </w:r>
    </w:p>
    <w:p w14:paraId="3EB16D32" w14:textId="77777777" w:rsidR="000A2E63" w:rsidRDefault="000A2E63" w:rsidP="000A2E63">
      <w:r>
        <w:rPr>
          <w:b/>
        </w:rPr>
        <w:t>NCR’s power control should support controlling of the transmission power of NCR.</w:t>
      </w:r>
    </w:p>
    <w:p w14:paraId="37B6E670" w14:textId="77777777" w:rsidR="000A2E63" w:rsidRDefault="000A2E63" w:rsidP="000A2E63">
      <w:pPr>
        <w:rPr>
          <w:b/>
        </w:rPr>
      </w:pPr>
    </w:p>
    <w:p w14:paraId="7EB33744" w14:textId="454D90C0" w:rsidR="000A2E63" w:rsidRDefault="00EC56EA" w:rsidP="000A2E6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7</w:t>
      </w:r>
      <w:r w:rsidR="000A2E63">
        <w:rPr>
          <w:rFonts w:ascii="Arial" w:eastAsia="Dotum" w:hAnsi="Arial" w:cs="Times New Roman"/>
          <w:sz w:val="36"/>
          <w:szCs w:val="36"/>
          <w:lang w:val="en-GB" w:eastAsia="zh-CN"/>
        </w:rPr>
        <w:t xml:space="preserve"> References</w:t>
      </w:r>
    </w:p>
    <w:p w14:paraId="3C5C3113" w14:textId="5804BA14" w:rsidR="000A2E63" w:rsidRPr="00FC24E4" w:rsidRDefault="000A2E63" w:rsidP="000A2E63">
      <w:pPr>
        <w:rPr>
          <w:lang w:val="en-GB" w:eastAsia="zh-CN"/>
        </w:rPr>
      </w:pPr>
      <w:r w:rsidRPr="00FC24E4">
        <w:rPr>
          <w:lang w:val="en-GB" w:eastAsia="zh-CN"/>
        </w:rPr>
        <w:t xml:space="preserve">[1] </w:t>
      </w:r>
      <w:r w:rsidR="00100C89">
        <w:rPr>
          <w:lang w:val="en-GB" w:eastAsia="zh-CN"/>
        </w:rPr>
        <w:t>R1-2212130</w:t>
      </w:r>
      <w:r>
        <w:rPr>
          <w:lang w:val="en-GB" w:eastAsia="zh-CN"/>
        </w:rPr>
        <w:t>, “</w:t>
      </w:r>
      <w:r w:rsidRPr="00E62571">
        <w:rPr>
          <w:lang w:val="en-GB" w:eastAsia="zh-CN"/>
        </w:rPr>
        <w:t>On side control information and NCR behavior</w:t>
      </w:r>
      <w:r>
        <w:rPr>
          <w:lang w:val="en-GB" w:eastAsia="zh-CN"/>
        </w:rPr>
        <w:t xml:space="preserve">”, </w:t>
      </w:r>
      <w:r w:rsidRPr="001E3BA9">
        <w:rPr>
          <w:lang w:val="en-GB" w:eastAsia="zh-CN"/>
        </w:rPr>
        <w:t>Qualcomm Incorporated</w:t>
      </w:r>
      <w:r>
        <w:rPr>
          <w:lang w:val="en-GB" w:eastAsia="zh-CN"/>
        </w:rPr>
        <w:t>.</w:t>
      </w:r>
    </w:p>
    <w:p w14:paraId="37D38C08" w14:textId="77777777" w:rsidR="000A2E63" w:rsidRDefault="000A2E63" w:rsidP="000A2E63"/>
    <w:p w14:paraId="49AFD87C" w14:textId="77777777" w:rsidR="000A2E63" w:rsidRDefault="000A2E63" w:rsidP="000A2E63"/>
    <w:p w14:paraId="7A10F51E" w14:textId="77777777" w:rsidR="00C46E25" w:rsidRDefault="00C46E25"/>
    <w:sectPr w:rsidR="00C46E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FA41" w14:textId="77777777" w:rsidR="00A91644" w:rsidRDefault="00A91644" w:rsidP="00B2481A">
      <w:pPr>
        <w:spacing w:after="0" w:line="240" w:lineRule="auto"/>
      </w:pPr>
      <w:r>
        <w:separator/>
      </w:r>
    </w:p>
  </w:endnote>
  <w:endnote w:type="continuationSeparator" w:id="0">
    <w:p w14:paraId="3C614242" w14:textId="77777777" w:rsidR="00A91644" w:rsidRDefault="00A91644" w:rsidP="00B24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0B498" w14:textId="77777777" w:rsidR="00A91644" w:rsidRDefault="00A91644" w:rsidP="00B2481A">
      <w:pPr>
        <w:spacing w:after="0" w:line="240" w:lineRule="auto"/>
      </w:pPr>
      <w:r>
        <w:separator/>
      </w:r>
    </w:p>
  </w:footnote>
  <w:footnote w:type="continuationSeparator" w:id="0">
    <w:p w14:paraId="3BA283CE" w14:textId="77777777" w:rsidR="00A91644" w:rsidRDefault="00A91644" w:rsidP="00B248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794B"/>
    <w:multiLevelType w:val="hybridMultilevel"/>
    <w:tmpl w:val="49D4CA28"/>
    <w:lvl w:ilvl="0" w:tplc="2C60A6C4">
      <w:start w:val="2"/>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04B62FD"/>
    <w:multiLevelType w:val="hybridMultilevel"/>
    <w:tmpl w:val="9E66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739E7"/>
    <w:multiLevelType w:val="hybridMultilevel"/>
    <w:tmpl w:val="74487548"/>
    <w:lvl w:ilvl="0" w:tplc="689820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E24048"/>
    <w:multiLevelType w:val="hybridMultilevel"/>
    <w:tmpl w:val="99864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925430"/>
    <w:multiLevelType w:val="hybridMultilevel"/>
    <w:tmpl w:val="08E47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0D60AD"/>
    <w:multiLevelType w:val="hybridMultilevel"/>
    <w:tmpl w:val="AB4E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BF7E5B"/>
    <w:multiLevelType w:val="hybridMultilevel"/>
    <w:tmpl w:val="3ACC1170"/>
    <w:lvl w:ilvl="0" w:tplc="88103E1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162E1"/>
    <w:multiLevelType w:val="hybridMultilevel"/>
    <w:tmpl w:val="29FE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1D4C05"/>
    <w:multiLevelType w:val="hybridMultilevel"/>
    <w:tmpl w:val="400C9430"/>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533686">
    <w:abstractNumId w:val="1"/>
  </w:num>
  <w:num w:numId="2" w16cid:durableId="486243318">
    <w:abstractNumId w:val="2"/>
  </w:num>
  <w:num w:numId="3" w16cid:durableId="845170329">
    <w:abstractNumId w:val="8"/>
  </w:num>
  <w:num w:numId="4" w16cid:durableId="16586044">
    <w:abstractNumId w:val="16"/>
  </w:num>
  <w:num w:numId="5" w16cid:durableId="47077278">
    <w:abstractNumId w:val="11"/>
  </w:num>
  <w:num w:numId="6" w16cid:durableId="1423992610">
    <w:abstractNumId w:val="14"/>
  </w:num>
  <w:num w:numId="7" w16cid:durableId="37777847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889692">
    <w:abstractNumId w:val="5"/>
  </w:num>
  <w:num w:numId="9" w16cid:durableId="1226062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5028273">
    <w:abstractNumId w:val="12"/>
  </w:num>
  <w:num w:numId="11" w16cid:durableId="676082814">
    <w:abstractNumId w:val="6"/>
  </w:num>
  <w:num w:numId="12" w16cid:durableId="307787556">
    <w:abstractNumId w:val="4"/>
  </w:num>
  <w:num w:numId="13" w16cid:durableId="71590310">
    <w:abstractNumId w:val="15"/>
  </w:num>
  <w:num w:numId="14" w16cid:durableId="117841028">
    <w:abstractNumId w:val="9"/>
  </w:num>
  <w:num w:numId="15" w16cid:durableId="401149450">
    <w:abstractNumId w:val="3"/>
  </w:num>
  <w:num w:numId="16" w16cid:durableId="146750967">
    <w:abstractNumId w:val="0"/>
  </w:num>
  <w:num w:numId="17" w16cid:durableId="19642686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63"/>
    <w:rsid w:val="000A2E63"/>
    <w:rsid w:val="00100C89"/>
    <w:rsid w:val="00173DF3"/>
    <w:rsid w:val="0025652C"/>
    <w:rsid w:val="0037568C"/>
    <w:rsid w:val="004D30D6"/>
    <w:rsid w:val="00A91644"/>
    <w:rsid w:val="00B2481A"/>
    <w:rsid w:val="00C255FA"/>
    <w:rsid w:val="00C33CA5"/>
    <w:rsid w:val="00C46E25"/>
    <w:rsid w:val="00C732ED"/>
    <w:rsid w:val="00C85B0E"/>
    <w:rsid w:val="00C8702B"/>
    <w:rsid w:val="00D6779A"/>
    <w:rsid w:val="00EC56EA"/>
    <w:rsid w:val="00EE5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66357"/>
  <w15:chartTrackingRefBased/>
  <w15:docId w15:val="{F5A4B990-3C50-4CDF-AB34-74BABB84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E63"/>
  </w:style>
  <w:style w:type="paragraph" w:styleId="Heading2">
    <w:name w:val="heading 2"/>
    <w:basedOn w:val="Normal"/>
    <w:next w:val="Normal"/>
    <w:link w:val="Heading2Char"/>
    <w:uiPriority w:val="9"/>
    <w:unhideWhenUsed/>
    <w:qFormat/>
    <w:rsid w:val="000A2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2E63"/>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E63"/>
    <w:pPr>
      <w:ind w:left="720"/>
      <w:contextualSpacing/>
    </w:pPr>
  </w:style>
  <w:style w:type="paragraph" w:styleId="Caption">
    <w:name w:val="caption"/>
    <w:basedOn w:val="Normal"/>
    <w:next w:val="Normal"/>
    <w:uiPriority w:val="35"/>
    <w:unhideWhenUsed/>
    <w:qFormat/>
    <w:rsid w:val="000A2E63"/>
    <w:pPr>
      <w:spacing w:after="200" w:line="240" w:lineRule="auto"/>
    </w:pPr>
    <w:rPr>
      <w:i/>
      <w:iCs/>
      <w:color w:val="44546A" w:themeColor="text2"/>
      <w:sz w:val="18"/>
      <w:szCs w:val="18"/>
    </w:rPr>
  </w:style>
  <w:style w:type="table" w:styleId="TableGrid">
    <w:name w:val="Table Grid"/>
    <w:basedOn w:val="TableNormal"/>
    <w:uiPriority w:val="39"/>
    <w:rsid w:val="000A2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E63"/>
  </w:style>
  <w:style w:type="character" w:styleId="Emphasis">
    <w:name w:val="Emphasis"/>
    <w:qFormat/>
    <w:rsid w:val="000A2E63"/>
    <w:rPr>
      <w:i/>
      <w:iCs/>
    </w:rPr>
  </w:style>
  <w:style w:type="paragraph" w:styleId="NormalWeb">
    <w:name w:val="Normal (Web)"/>
    <w:basedOn w:val="Normal"/>
    <w:uiPriority w:val="99"/>
    <w:qFormat/>
    <w:rsid w:val="000A2E63"/>
    <w:pPr>
      <w:spacing w:before="100" w:beforeAutospacing="1" w:after="100" w:afterAutospacing="1" w:line="240" w:lineRule="auto"/>
    </w:pPr>
    <w:rPr>
      <w:rFonts w:ascii="Arial" w:eastAsia="SimSun" w:hAnsi="Arial" w:cs="Arial"/>
      <w:color w:val="493118"/>
      <w:sz w:val="18"/>
      <w:szCs w:val="18"/>
      <w:lang w:eastAsia="zh-CN"/>
    </w:rPr>
  </w:style>
  <w:style w:type="paragraph" w:styleId="BalloonText">
    <w:name w:val="Balloon Text"/>
    <w:basedOn w:val="Normal"/>
    <w:link w:val="BalloonTextChar"/>
    <w:uiPriority w:val="99"/>
    <w:semiHidden/>
    <w:unhideWhenUsed/>
    <w:rsid w:val="000A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E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9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2FHT6SDPEKRM-335803755-46130</_dlc_DocId>
    <_dlc_DocIdUrl xmlns="12c87010-54c7-4968-977c-9bb319d35727">
      <Url>https://qualcomm.sharepoint.com/teams/SkyBer/_layouts/15/DocIdRedir.aspx?ID=2FHT6SDPEKRM-335803755-46130</Url>
      <Description>2FHT6SDPEKRM-335803755-46130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08B1015-F5D7-4B44-8D43-363A2EC5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E99A2-59A1-4C34-AFFE-5F56D4BB6A1D}">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E4E1EE1E-5545-4E6D-9F64-3CBAF5C946DC}">
  <ds:schemaRefs>
    <ds:schemaRef ds:uri="http://schemas.microsoft.com/sharepoint/events"/>
  </ds:schemaRefs>
</ds:datastoreItem>
</file>

<file path=customXml/itemProps4.xml><?xml version="1.0" encoding="utf-8"?>
<ds:datastoreItem xmlns:ds="http://schemas.openxmlformats.org/officeDocument/2006/customXml" ds:itemID="{1D44DABB-1180-4F09-BBD6-D5E2DF4264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3195</Words>
  <Characters>18214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14</cp:revision>
  <dcterms:created xsi:type="dcterms:W3CDTF">2022-11-03T22:25:00Z</dcterms:created>
  <dcterms:modified xsi:type="dcterms:W3CDTF">2022-11-04T22:33:00Z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a83c2d6e-12b0-49c1-9253-406390875b72</vt:lpwstr>
  </property>
  <property fmtid="{D5CDD505-2E9C-101B-9397-08002B2CF9AE}" pid="4" name="MediaServiceImageTags">
    <vt:lpwstr/>
  </property>
</Properties>
</file>